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A8" w:rsidRPr="00B44D36" w:rsidRDefault="00854CA8" w:rsidP="00354991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>Інформація</w:t>
      </w:r>
      <w:r w:rsidR="00460016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(звіт)</w:t>
      </w:r>
    </w:p>
    <w:p w:rsidR="00C87983" w:rsidRPr="00B44D36" w:rsidRDefault="00854CA8" w:rsidP="00354991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про </w:t>
      </w:r>
      <w:r w:rsidR="0079167F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хід </w:t>
      </w: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виконання </w:t>
      </w:r>
      <w:r w:rsidR="0079167F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заходів </w:t>
      </w: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Регіональної програми щодо покращення обслуговування платників податків </w:t>
      </w:r>
    </w:p>
    <w:p w:rsidR="00854CA8" w:rsidRPr="00B44D36" w:rsidRDefault="00854CA8" w:rsidP="00354991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>Чернівецької області на 2016-2020 роки</w:t>
      </w:r>
      <w:r w:rsidR="00381803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="00381803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>за 2016 рік</w:t>
      </w:r>
    </w:p>
    <w:p w:rsidR="00854CA8" w:rsidRPr="00B44D36" w:rsidRDefault="00854CA8" w:rsidP="00354991">
      <w:pPr>
        <w:spacing w:after="0" w:line="20" w:lineRule="atLeast"/>
        <w:ind w:firstLine="851"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2644DE" w:rsidRPr="00B44D36" w:rsidRDefault="002644DE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Регіональна програма щодо покращення обслуговування платників податків Чернівецької області на 2016-2020 роки затверджена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рішенням VI сесії Чернівецької обласної ради VІІ скликання від 28 липня 2016 року №120-6/16</w:t>
      </w:r>
      <w:r w:rsidR="006C375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 (далі – Програма)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 метою формування сприятливих умов для покращення обслуговування платників податків та покращення інвестиційного клімату в області.</w:t>
      </w:r>
    </w:p>
    <w:p w:rsidR="00460016" w:rsidRPr="00B44D36" w:rsidRDefault="00460016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Загальний орієнтовний обсяг фінансування Програми на 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2016-2020 роки становить 2000,0 тис. грн. </w:t>
      </w:r>
    </w:p>
    <w:p w:rsidR="006C375A" w:rsidRPr="00B44D36" w:rsidRDefault="00E35BBF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</w:t>
      </w:r>
      <w:r w:rsidR="006C375A" w:rsidRPr="00B44D36">
        <w:rPr>
          <w:rFonts w:ascii="Times New Roman" w:hAnsi="Times New Roman" w:cs="Times New Roman"/>
          <w:sz w:val="27"/>
          <w:szCs w:val="27"/>
          <w:lang w:val="uk-UA"/>
        </w:rPr>
        <w:t>Порядк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6C375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формування, фінансування та моніторингу виконання регіональних (комплексних) програм, затверджен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6C375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рішенням VI сесії Чернівецької обласної ради V скликання від 03.08.2006 рік №80-6/06, Головне управління ДФС у Чернівецькій області підготувало та подає на розгляд чергової сесії Чернівецької обласної ради і</w:t>
      </w:r>
      <w:r w:rsidR="006C375A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нформацію</w:t>
      </w:r>
      <w:r w:rsidR="00460016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(звіт)</w:t>
      </w:r>
      <w:r w:rsidR="006C375A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про хід виконання </w:t>
      </w:r>
      <w:r w:rsidR="00460016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заходів Програми </w:t>
      </w:r>
      <w:r w:rsidR="008E462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за</w:t>
      </w:r>
      <w:r w:rsidR="006C375A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2016 р</w:t>
      </w:r>
      <w:r w:rsidR="008E462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ік</w:t>
      </w:r>
      <w:r w:rsidR="006C375A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4D127D" w:rsidRPr="00B44D36" w:rsidRDefault="00E35BBF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Так, Програмою затверджені </w:t>
      </w:r>
      <w:r w:rsidR="0033555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всього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9 (дев’ять) заходів, з яких 6 (шість) – з передбаченням фінансування за рахунок коштів обласного бюджету. У 2016 році на реалізацію 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>цих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заходів Програми передбачений обсяг фінансування з обласного бюджету у сумі 200</w:t>
      </w:r>
      <w:r w:rsidR="00460016" w:rsidRPr="00B44D36">
        <w:rPr>
          <w:rFonts w:ascii="Times New Roman" w:hAnsi="Times New Roman" w:cs="Times New Roman"/>
          <w:sz w:val="27"/>
          <w:szCs w:val="27"/>
          <w:lang w:val="uk-UA"/>
        </w:rPr>
        <w:t>,0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тис. грн. У грудні 2016 </w:t>
      </w:r>
      <w:r w:rsidR="009A059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року </w:t>
      </w:r>
      <w:r w:rsidR="0046001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зазначені </w:t>
      </w:r>
      <w:r w:rsidR="009A059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кошти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фактично профінансован</w:t>
      </w:r>
      <w:r w:rsidR="009A0599" w:rsidRPr="00B44D36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та станом на 01.01.2017 року, освоєні </w:t>
      </w:r>
      <w:r w:rsidR="009A059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Головним управлінням ДФС у Чернівецькій області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у повному обсязі.</w:t>
      </w:r>
    </w:p>
    <w:p w:rsidR="00E35BBF" w:rsidRPr="00B44D36" w:rsidRDefault="00E35BBF" w:rsidP="00354991">
      <w:pPr>
        <w:widowControl w:val="0"/>
        <w:spacing w:after="0" w:line="20" w:lineRule="atLeast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4D127D" w:rsidRPr="00B44D36" w:rsidRDefault="004D127D" w:rsidP="00354991">
      <w:pPr>
        <w:pStyle w:val="a3"/>
        <w:widowControl w:val="0"/>
        <w:numPr>
          <w:ilvl w:val="0"/>
          <w:numId w:val="18"/>
        </w:numPr>
        <w:spacing w:after="0" w:line="20" w:lineRule="atLeast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Фінансування заходів за визначеними Програмою напрямками</w:t>
      </w:r>
    </w:p>
    <w:p w:rsidR="004D127D" w:rsidRPr="00B44D36" w:rsidRDefault="004D127D" w:rsidP="00354991">
      <w:pPr>
        <w:pStyle w:val="a3"/>
        <w:widowControl w:val="0"/>
        <w:spacing w:after="0" w:line="20" w:lineRule="atLeast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D127D" w:rsidRPr="00B44D36" w:rsidRDefault="004D127D" w:rsidP="00354991">
      <w:pPr>
        <w:pStyle w:val="a3"/>
        <w:spacing w:after="0" w:line="20" w:lineRule="atLeast"/>
        <w:ind w:left="0" w:firstLine="851"/>
        <w:jc w:val="both"/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Напрямок: </w:t>
      </w:r>
      <w:r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Підвищення рівня культури сплати податків, зборів, митних платежів, єдиного внеску на загальнообов’язкове державне соціальне страхування та позиціювання Головного управління ДФС у Чернівецькій області як відкритого та готового до конструктивного діалогу з громадськістю та бізнесом органу.</w:t>
      </w:r>
    </w:p>
    <w:p w:rsidR="00D41C72" w:rsidRPr="00B44D36" w:rsidRDefault="003E69F4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</w:t>
      </w:r>
      <w:r w:rsidR="006B18E1" w:rsidRPr="00B44D36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у 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у 2016 році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Програмою передбачено, фактично профінансовано</w:t>
      </w:r>
      <w:r w:rsidR="00B1241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та освоєно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15 тис. грн. (за КЕКВ – 3110 та 2210)</w:t>
      </w:r>
      <w:r w:rsidR="00B12416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3E69F4" w:rsidRPr="00B44D36" w:rsidRDefault="00B12416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Кошти спрямовані 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на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матеріально-технічне забезпечення</w:t>
      </w:r>
      <w:r w:rsidR="00846D0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EF56FC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організації та 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проведення масових заходів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(засідань «круглих столів», семінарів, зустрічей з громадськістю, конференцій тощо)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і роз’яснювальної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роботи, виготовлення друкованої продукції та інших роздаткових матеріалів інформаційного характеру з питань діяльності фіскальних органів (листівок, брошур, пам’яток, тощо). </w:t>
      </w:r>
    </w:p>
    <w:p w:rsidR="00B16510" w:rsidRPr="00B44D36" w:rsidRDefault="00B16510" w:rsidP="00354991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Інформаційна політика фіскальної служби орієнтована на привернення уваги різних цільових груп до необхідності сплати податків</w:t>
      </w:r>
      <w:r w:rsidR="00EF56FC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формування податкової моралі</w:t>
      </w:r>
      <w:r w:rsidR="00EF56FC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яка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реалізується шляхом використання навчальних і превентивних підходів, а також інших комунікаційних стратегій, серед яких: проведення засідань «круглого столу», брифінгів, семінарів та інших заходів і кампаній з податкової тематики для представників бізнесу і громадянського суспільства; проведення податкових форумів та лекцій для освітніх закладів; поширення податкової інформації за допомогою засобів масової інформації, зокрема, через Інтернет – видання. </w:t>
      </w:r>
    </w:p>
    <w:p w:rsidR="00C902FF" w:rsidRPr="00B44D36" w:rsidRDefault="00B12416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lastRenderedPageBreak/>
        <w:t>Так, у звітному році п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роведено 25 семінарів та практикумів для платників податків</w:t>
      </w:r>
      <w:r w:rsidR="003E69F4" w:rsidRPr="00B44D36">
        <w:rPr>
          <w:rFonts w:ascii="Times New Roman" w:eastAsia="MS Mincho" w:hAnsi="Times New Roman" w:cs="Times New Roman"/>
          <w:sz w:val="27"/>
          <w:szCs w:val="27"/>
          <w:lang w:val="uk-UA"/>
        </w:rPr>
        <w:t>,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зборів, платежів, у тому числі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12 і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нтернет-конференцій (семінарів)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; 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16 сеансів теле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фонного зв’язку «гаряча лінія»;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15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засідань «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круглих столів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0C4AAD" w:rsidRPr="00B44D36">
        <w:rPr>
          <w:rFonts w:ascii="Times New Roman" w:hAnsi="Times New Roman" w:cs="Times New Roman"/>
          <w:sz w:val="27"/>
          <w:szCs w:val="27"/>
          <w:lang w:val="uk-UA"/>
        </w:rPr>
        <w:t>;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25 зб</w:t>
      </w:r>
      <w:r w:rsidR="000C4AAD" w:rsidRPr="00B44D36">
        <w:rPr>
          <w:rFonts w:ascii="Times New Roman" w:hAnsi="Times New Roman" w:cs="Times New Roman"/>
          <w:sz w:val="27"/>
          <w:szCs w:val="27"/>
          <w:lang w:val="uk-UA"/>
        </w:rPr>
        <w:t>орів, зустрічей з громадськістю;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1 конференці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ю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E69F4" w:rsidRPr="00B44D36" w:rsidRDefault="00D74E0D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заходах взяли участь 1790 платників податків та молоді, які </w:t>
      </w:r>
      <w:r w:rsidR="00B1241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отримали інформацію роз’яснювального </w:t>
      </w:r>
      <w:r w:rsidR="000C4AAD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та консультаційного </w:t>
      </w:r>
      <w:r w:rsidR="00B12416" w:rsidRPr="00B44D36">
        <w:rPr>
          <w:rFonts w:ascii="Times New Roman" w:hAnsi="Times New Roman" w:cs="Times New Roman"/>
          <w:sz w:val="27"/>
          <w:szCs w:val="27"/>
          <w:lang w:val="uk-UA"/>
        </w:rPr>
        <w:t>характеру</w:t>
      </w:r>
      <w:r w:rsidR="003E69F4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C902FF" w:rsidRPr="00B44D36" w:rsidRDefault="003E69F4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За звітний період фахівцями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органів ДФС підготовлені 295 матеріалів з питань застосування податкового, митного законодавства та єдиного соціального внеску.</w:t>
      </w:r>
      <w:r w:rsidR="00846D0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Зокрема, розроблено 11 брошур накладом 1360 примірників, 8 пам’яток накладом 1270 примірників та 5 листівок накладом 570 примірників.</w:t>
      </w:r>
    </w:p>
    <w:p w:rsidR="000C4AAD" w:rsidRPr="00B44D36" w:rsidRDefault="000C4AAD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Виготовлені інформаційні матеріали розповсюджені серед платників податків, відвідувачів та учасників масових заходів. </w:t>
      </w:r>
    </w:p>
    <w:p w:rsidR="0019782A" w:rsidRPr="00B44D36" w:rsidRDefault="0019782A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C4AAD" w:rsidRPr="00B44D36" w:rsidRDefault="000C4AAD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Напрямок: </w:t>
      </w:r>
      <w:r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Забезпечення погашення податкового зобов’язання.</w:t>
      </w:r>
    </w:p>
    <w:p w:rsidR="0019782A" w:rsidRPr="00B44D36" w:rsidRDefault="00456E4A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напрямку у 2016 році Програмою передбачено</w:t>
      </w:r>
      <w:r w:rsidR="000C4AAD" w:rsidRPr="00B44D36">
        <w:rPr>
          <w:rFonts w:ascii="Times New Roman" w:hAnsi="Times New Roman" w:cs="Times New Roman"/>
          <w:sz w:val="27"/>
          <w:szCs w:val="27"/>
          <w:lang w:val="uk-UA"/>
        </w:rPr>
        <w:t>, фактично профінансовано та освоєно</w:t>
      </w:r>
      <w:r w:rsidR="000C4AAD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30</w:t>
      </w:r>
      <w:r w:rsidR="000C4AAD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тис.</w:t>
      </w:r>
      <w:r w:rsidR="00201894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0C4AAD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грн. (КЕКВ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– </w:t>
      </w:r>
      <w:r w:rsidR="000C4AAD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3110)</w:t>
      </w:r>
      <w:r w:rsidR="00201894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0C4AAD" w:rsidRPr="00B44D36" w:rsidRDefault="00201894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За рахунок програмного фінансування забезпечені технічні умови для виконання платниками податків вимог податкового законодавства шляхом упередження факторів і причин з недопущення росту податкового боргу, систематизована та удосконалена робота з виявлення, оцінки, збереження і реалізації безхазяйного майна та майна, що перебуває в податковій заставі.   </w:t>
      </w:r>
    </w:p>
    <w:p w:rsidR="00201894" w:rsidRPr="00B44D36" w:rsidRDefault="00201894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Так, у 2016 році досягнуто скорочення податкового боргу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на 33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8 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. грн., в тому числі до Державного – на 41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4 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грн.  </w:t>
      </w:r>
    </w:p>
    <w:p w:rsidR="0019782A" w:rsidRPr="00B44D36" w:rsidRDefault="0019782A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На погашення податкового боргу у 2016 році податковими органами мобілізовано та спрямовано грошовими коштами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50,8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. грн. Зокрема, до Державного бюджету, при доведеному завданні на січень-грудень 2016 року у сумі 20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4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. грн. – мобілізовано 25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,2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. грн. та до місцевого бюджету – 25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6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. грн. відповідно. </w:t>
      </w:r>
    </w:p>
    <w:p w:rsidR="0019782A" w:rsidRPr="00B44D36" w:rsidRDefault="006F67DE" w:rsidP="00354991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Відповідно до Ключових показників ефективності роботи ДФС України, затверджених н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аказом  ДФС України від 20.10.16 р. № 880,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якими доведена вимога досягти скорочення податкового боргу упродовж 2016 року на 10 відс. по відношенню до його початку (без врахування новоствореного)</w:t>
      </w:r>
      <w:r w:rsidR="004D7E6E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Впродовж року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податковий борг Г</w:t>
      </w:r>
      <w:r w:rsidR="004D7E6E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оловним правлінням </w:t>
      </w:r>
      <w:r w:rsidR="00DF6B91" w:rsidRPr="00B44D36">
        <w:rPr>
          <w:rFonts w:ascii="Times New Roman" w:hAnsi="Times New Roman" w:cs="Times New Roman"/>
          <w:sz w:val="27"/>
          <w:szCs w:val="27"/>
          <w:lang w:val="uk-UA"/>
        </w:rPr>
        <w:t>ДФС у області скорочено</w:t>
      </w:r>
      <w:r w:rsidR="0019782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на 16,1 відс. </w:t>
      </w:r>
    </w:p>
    <w:p w:rsidR="00611D41" w:rsidRPr="00B44D36" w:rsidRDefault="00611D41" w:rsidP="00354991">
      <w:pPr>
        <w:spacing w:after="0" w:line="20" w:lineRule="atLeast"/>
        <w:ind w:right="6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 рахунок реалізації безхазяйного майна надходження коштів </w:t>
      </w:r>
      <w:r w:rsidRPr="00B44D36">
        <w:rPr>
          <w:rFonts w:ascii="Times New Roman" w:hAnsi="Times New Roman" w:cs="Times New Roman"/>
          <w:bCs/>
          <w:sz w:val="27"/>
          <w:szCs w:val="27"/>
          <w:lang w:val="uk-UA" w:eastAsia="uk-UA"/>
        </w:rPr>
        <w:t xml:space="preserve">до зведеного бюджету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у 2016 році </w:t>
      </w:r>
      <w:r w:rsidRPr="00B44D36">
        <w:rPr>
          <w:rFonts w:ascii="Times New Roman" w:hAnsi="Times New Roman" w:cs="Times New Roman"/>
          <w:bCs/>
          <w:sz w:val="27"/>
          <w:szCs w:val="27"/>
          <w:lang w:val="uk-UA" w:eastAsia="uk-UA"/>
        </w:rPr>
        <w:t xml:space="preserve">склали 1,0 млн. грн.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при індикативі 0,5 млн. грн. (виконання </w:t>
      </w:r>
      <w:r w:rsidR="004D7E6E" w:rsidRPr="00B44D36">
        <w:rPr>
          <w:rFonts w:ascii="Times New Roman" w:hAnsi="Times New Roman" w:cs="Times New Roman"/>
          <w:sz w:val="27"/>
          <w:szCs w:val="27"/>
          <w:lang w:val="uk-UA"/>
        </w:rPr>
        <w:t>становить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165,0</w:t>
      </w:r>
      <w:r w:rsidR="004D7E6E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відс.), </w:t>
      </w:r>
      <w:r w:rsidRPr="00B44D36">
        <w:rPr>
          <w:rFonts w:ascii="Times New Roman" w:hAnsi="Times New Roman" w:cs="Times New Roman"/>
          <w:bCs/>
          <w:sz w:val="27"/>
          <w:szCs w:val="27"/>
          <w:lang w:val="uk-UA" w:eastAsia="uk-UA"/>
        </w:rPr>
        <w:t xml:space="preserve">в тому числі до державного 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 w:eastAsia="uk-UA"/>
        </w:rPr>
        <w:t xml:space="preserve">бюджету </w:t>
      </w:r>
      <w:r w:rsidRPr="00B44D36">
        <w:rPr>
          <w:rFonts w:ascii="Times New Roman" w:hAnsi="Times New Roman" w:cs="Times New Roman"/>
          <w:bCs/>
          <w:sz w:val="27"/>
          <w:szCs w:val="27"/>
          <w:lang w:val="uk-UA" w:eastAsia="uk-UA"/>
        </w:rPr>
        <w:t>– 0,5 млн. грн. (виконання – 112,9 відс.) і до місцевих бюджетів – 0,5 млн. грн. (виконання – 300,8 відс.).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Взято на облік безхазяйного майна на суму 5,8 млн. грн., прийнято рішення про розпорядження, а саме, про передачу на знищення безхазяйних тютюнових виробів на суму 4,3 млн. </w:t>
      </w:r>
      <w:r w:rsidR="004D7E6E" w:rsidRPr="00B44D36">
        <w:rPr>
          <w:rFonts w:ascii="Times New Roman" w:hAnsi="Times New Roman" w:cs="Times New Roman"/>
          <w:sz w:val="27"/>
          <w:szCs w:val="27"/>
          <w:lang w:val="uk-UA"/>
        </w:rPr>
        <w:t>грн.</w:t>
      </w:r>
    </w:p>
    <w:p w:rsidR="00DF6B91" w:rsidRPr="00B44D36" w:rsidRDefault="004D7E6E" w:rsidP="00354991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2016 ро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ці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в податковій заставі перебувало майно боржників на суму 23,8 млн. грн. Станом на 01.01.2017 року 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перебуває в заставі 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такого майна на суму 21,8 млн. грн. Впродовж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2016 року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додатково описано майна в сумі 7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,1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. грн. 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>а реалізації перебуває заставне майно 8 боржників на суму 2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,8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млн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>. грн.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ab/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Надходження від реалізації заставного майна в поточному році склали 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0,5 млн</w:t>
      </w:r>
      <w:r w:rsidR="00366607" w:rsidRPr="00B44D36">
        <w:rPr>
          <w:rFonts w:ascii="Times New Roman" w:hAnsi="Times New Roman" w:cs="Times New Roman"/>
          <w:sz w:val="27"/>
          <w:szCs w:val="27"/>
          <w:lang w:val="uk-UA"/>
        </w:rPr>
        <w:t>. грн.</w:t>
      </w:r>
    </w:p>
    <w:p w:rsidR="002E3795" w:rsidRPr="00B44D36" w:rsidRDefault="002E3795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D127D" w:rsidRPr="00B44D36" w:rsidRDefault="00DF6B91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lastRenderedPageBreak/>
        <w:t xml:space="preserve">Напрямок: </w:t>
      </w:r>
      <w:r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>Формування інформаційного поля про діяльність Г</w:t>
      </w:r>
      <w:r w:rsidR="006B5D5E"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>оловного управління</w:t>
      </w:r>
      <w:r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ДФС у Чернівецькій області.</w:t>
      </w:r>
    </w:p>
    <w:p w:rsidR="004D7E6E" w:rsidRPr="00B44D36" w:rsidRDefault="00456E4A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напрямку у 2016 році Програмою передбачено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>, фактично профінансовано та освоєно</w:t>
      </w:r>
      <w:r w:rsidR="00C902FF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20 тис. грн. (КЕКВ</w:t>
      </w:r>
      <w:r w:rsidR="0035499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>–</w:t>
      </w:r>
      <w:r w:rsidR="00C902FF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3110 та 2210).</w:t>
      </w:r>
    </w:p>
    <w:p w:rsidR="00C902FF" w:rsidRPr="00B44D36" w:rsidRDefault="00C902FF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Необхідність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сучасного та 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ефективного застосування наглядової агітації шляхом розміщення 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в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засобах зовнішньої реклами (банерах,біг-бордах, сіті-лайтах тощо)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інформаційних матеріалів з питань діяльності фіскальної служби,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обумовило потребу у спрямуванні 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програмн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ого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фінансування на матеріально-технічне забезпечення процесів і процедур підготовки рекламних продуктів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, в том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у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числі й соціальної реклами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(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з цією метою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придбано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цифрове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4D7E6E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обладнання для виготовлення  рекламних продуктів, зокрема </w:t>
      </w:r>
      <w:r w:rsidR="00B16510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фотокамеру та штатів для неї).</w:t>
      </w:r>
    </w:p>
    <w:p w:rsidR="004D7E6E" w:rsidRPr="00B44D36" w:rsidRDefault="004D7E6E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Так, у звітному році виготовлено та розповсюджено 24 види друкованої продукції загальним накладом 3200 примірників. </w:t>
      </w:r>
    </w:p>
    <w:p w:rsidR="00C902FF" w:rsidRPr="00B44D36" w:rsidRDefault="00681742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Д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засобів масової інформації 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направлено 516 інформаційних матеріалів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з питань діяльності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відомства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, підготовлених </w:t>
      </w:r>
      <w:r w:rsidR="00E739C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безпосередньо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фахівцями органів ДФС 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(інформаційні повідомлення, анонси, швидкоплинні стрічки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тощо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>). У</w:t>
      </w:r>
      <w:r w:rsidR="00C902FF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C902FF" w:rsidRPr="00B44D36">
        <w:rPr>
          <w:rFonts w:ascii="Times New Roman" w:eastAsia="MS Mincho" w:hAnsi="Times New Roman" w:cs="Times New Roman"/>
          <w:color w:val="000000"/>
          <w:sz w:val="27"/>
          <w:szCs w:val="27"/>
          <w:lang w:val="uk-UA"/>
        </w:rPr>
        <w:t xml:space="preserve">друкованих </w:t>
      </w:r>
      <w:r w:rsidR="00950EAF" w:rsidRPr="00B44D36">
        <w:rPr>
          <w:rFonts w:ascii="Times New Roman" w:eastAsia="MS Mincho" w:hAnsi="Times New Roman" w:cs="Times New Roman"/>
          <w:color w:val="000000"/>
          <w:sz w:val="27"/>
          <w:szCs w:val="27"/>
          <w:lang w:val="uk-UA"/>
        </w:rPr>
        <w:t xml:space="preserve">засобах масової інформації </w:t>
      </w:r>
      <w:r w:rsidR="00C902FF" w:rsidRPr="00B44D36">
        <w:rPr>
          <w:rFonts w:ascii="Times New Roman" w:eastAsia="MS Mincho" w:hAnsi="Times New Roman" w:cs="Times New Roman"/>
          <w:color w:val="000000"/>
          <w:sz w:val="27"/>
          <w:szCs w:val="27"/>
          <w:lang w:val="uk-UA"/>
        </w:rPr>
        <w:t xml:space="preserve">розміщено </w:t>
      </w:r>
      <w:r w:rsidRPr="00B44D36">
        <w:rPr>
          <w:rFonts w:ascii="Times New Roman" w:eastAsia="MS Mincho" w:hAnsi="Times New Roman" w:cs="Times New Roman"/>
          <w:color w:val="000000"/>
          <w:sz w:val="27"/>
          <w:szCs w:val="27"/>
          <w:lang w:val="uk-UA"/>
        </w:rPr>
        <w:t xml:space="preserve">всього </w:t>
      </w:r>
      <w:r w:rsidR="00C902FF" w:rsidRPr="00B44D36">
        <w:rPr>
          <w:rFonts w:ascii="Times New Roman" w:eastAsia="MS Mincho" w:hAnsi="Times New Roman" w:cs="Times New Roman"/>
          <w:color w:val="000000"/>
          <w:sz w:val="27"/>
          <w:szCs w:val="27"/>
          <w:lang w:val="uk-UA"/>
        </w:rPr>
        <w:t xml:space="preserve">123 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>матеріали, на радіоканалах – 1816, на телеканалах – 644, в Інтернет-ЗМІ  – 1639.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Відстежено 4358 публікацій.</w:t>
      </w:r>
    </w:p>
    <w:p w:rsidR="00E739CB" w:rsidRPr="00B44D36" w:rsidRDefault="00681742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Крім цього, забезпечено у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триман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ня</w:t>
      </w:r>
      <w:r w:rsidR="00A11A6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на </w:t>
      </w:r>
      <w:r w:rsidR="00A11A69" w:rsidRPr="00B44D36">
        <w:rPr>
          <w:rFonts w:ascii="Times New Roman" w:hAnsi="Times New Roman" w:cs="Times New Roman"/>
          <w:sz w:val="27"/>
          <w:szCs w:val="27"/>
          <w:lang w:val="uk-UA"/>
        </w:rPr>
        <w:t>належн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ому</w:t>
      </w:r>
      <w:r w:rsidR="00A11A6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рів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ні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інформаційн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е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наповнення суб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–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сайту єдиного веб-порталу ДФС територіальні органи ДФС у Чернівецькій області.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В цілому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упродовж  січня – грудня  2016 року 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в засобах зовнішньої реклами, соціальних мережах та інших засобах реклами  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розміщено </w:t>
      </w:r>
      <w:r w:rsidR="00E739C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всього 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>809 матеріалів, із них 516 інформаційн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ого характеру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>, 293 консультаційно-роз’яснювальн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C902F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</w:p>
    <w:p w:rsidR="00C902FF" w:rsidRPr="00B44D36" w:rsidRDefault="00C902FF" w:rsidP="0035499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 підсумками 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проведених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публічних заходів на суб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–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сайті</w:t>
      </w:r>
      <w:r w:rsidR="00950EA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створено 56 фотогалерей. </w:t>
      </w:r>
      <w:r w:rsidR="00681742"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звітн</w:t>
      </w:r>
      <w:r w:rsidR="00681742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ому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період</w:t>
      </w:r>
      <w:r w:rsidR="00681742" w:rsidRPr="00B44D36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681742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 режимі он-лайн спілкування організовано і проведено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12 Інтернет </w:t>
      </w: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-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конференцій.  </w:t>
      </w:r>
    </w:p>
    <w:p w:rsidR="004D127D" w:rsidRPr="00B44D36" w:rsidRDefault="004D127D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B18E1" w:rsidRPr="00B44D36" w:rsidRDefault="006B18E1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Напрямок: </w:t>
      </w:r>
      <w:r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>Впровадження сучасних інформаційних технології в оподаткуванні та удосконаленні роботи з платниками</w:t>
      </w:r>
      <w:r w:rsidR="00345B2B"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b/>
          <w:i/>
          <w:sz w:val="27"/>
          <w:szCs w:val="27"/>
          <w:lang w:val="uk-UA"/>
        </w:rPr>
        <w:t>податків.</w:t>
      </w:r>
    </w:p>
    <w:p w:rsidR="00141BF0" w:rsidRPr="00B44D36" w:rsidRDefault="00456E4A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напрямку у 2016 році Програмою передбачено</w:t>
      </w:r>
      <w:r w:rsidR="006B18E1" w:rsidRPr="00B44D36">
        <w:rPr>
          <w:rFonts w:ascii="Times New Roman" w:hAnsi="Times New Roman" w:cs="Times New Roman"/>
          <w:sz w:val="27"/>
          <w:szCs w:val="27"/>
          <w:lang w:val="uk-UA"/>
        </w:rPr>
        <w:t>, фактично профінансовано та освоєно</w:t>
      </w:r>
      <w:r w:rsidR="006B18E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20 тис. грн. (КЕКВ</w:t>
      </w:r>
      <w:r w:rsidR="0035499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>–</w:t>
      </w:r>
      <w:r w:rsidR="006B18E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3110).</w:t>
      </w:r>
      <w:r w:rsidR="00345B2B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:rsidR="004D127D" w:rsidRPr="00B44D36" w:rsidRDefault="000B5D04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П</w:t>
      </w:r>
      <w:r w:rsidR="00345B2B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рограмне фінансування 2016 року в передбаченому обсязі використано на матеріально-технічне удосконалення діючого механізму </w:t>
      </w:r>
      <w:r w:rsidR="00211E03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надання населенню широкого спектру адміністративних та інформаційних послуг з роз’яснення податкової політики та підвищення рівня добровільної і сумлінної сплати податків.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:rsidR="00A55AF6" w:rsidRPr="00B44D36" w:rsidRDefault="00211E03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Завдяки цьому</w:t>
      </w:r>
      <w:r w:rsidR="005E3ACF" w:rsidRPr="00B44D36">
        <w:rPr>
          <w:rFonts w:ascii="Times New Roman" w:hAnsi="Times New Roman" w:cs="Times New Roman"/>
          <w:sz w:val="27"/>
          <w:szCs w:val="27"/>
          <w:lang w:val="uk-UA"/>
        </w:rPr>
        <w:t>, сьогодні</w:t>
      </w:r>
      <w:r w:rsidR="00F44905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55AF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 кожному районному центрі та містах Чернівці і Новодністровськ на базі об’єднаних державних податкових інспекцій  </w:t>
      </w:r>
      <w:r w:rsidR="00721FC6" w:rsidRPr="00B44D36">
        <w:rPr>
          <w:rFonts w:ascii="Times New Roman" w:hAnsi="Times New Roman" w:cs="Times New Roman"/>
          <w:sz w:val="27"/>
          <w:szCs w:val="27"/>
          <w:lang w:val="uk-UA"/>
        </w:rPr>
        <w:t>забезпечено належне</w:t>
      </w:r>
      <w:r w:rsidR="00A55AF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функціону</w:t>
      </w:r>
      <w:r w:rsidR="00721F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вання </w:t>
      </w:r>
      <w:r w:rsidR="00A55AF6" w:rsidRPr="00B44D36">
        <w:rPr>
          <w:rFonts w:ascii="Times New Roman" w:hAnsi="Times New Roman" w:cs="Times New Roman"/>
          <w:sz w:val="27"/>
          <w:szCs w:val="27"/>
          <w:lang w:val="uk-UA"/>
        </w:rPr>
        <w:t>13 центрів обслуговування платників (далі – ЦОП)</w:t>
      </w:r>
      <w:r w:rsidR="00642FB6" w:rsidRPr="00B44D36">
        <w:rPr>
          <w:rFonts w:ascii="Times New Roman" w:hAnsi="Times New Roman" w:cs="Times New Roman"/>
          <w:sz w:val="27"/>
          <w:szCs w:val="27"/>
          <w:lang w:val="uk-UA"/>
        </w:rPr>
        <w:t>, які надають 23 види адміністративних послуг, з яких 7 – надаються   безпосередньо Головним управлінням ДФС у області.</w:t>
      </w:r>
    </w:p>
    <w:p w:rsidR="00A55AF6" w:rsidRPr="00B44D36" w:rsidRDefault="00A55AF6" w:rsidP="00354991">
      <w:pPr>
        <w:tabs>
          <w:tab w:val="left" w:pos="1026"/>
        </w:tabs>
        <w:spacing w:after="0" w:line="20" w:lineRule="atLeast"/>
        <w:ind w:firstLine="709"/>
        <w:jc w:val="both"/>
        <w:rPr>
          <w:rStyle w:val="FontStyle18"/>
          <w:sz w:val="27"/>
          <w:szCs w:val="27"/>
          <w:lang w:val="uk-UA" w:eastAsia="uk-UA"/>
        </w:rPr>
      </w:pPr>
      <w:r w:rsidRPr="00B44D36">
        <w:rPr>
          <w:rStyle w:val="FontStyle18"/>
          <w:sz w:val="27"/>
          <w:szCs w:val="27"/>
          <w:lang w:val="uk-UA" w:eastAsia="uk-UA"/>
        </w:rPr>
        <w:t>Відповідно до ст.8 Закону України «Про адміністративні послуги» у 2016 ро</w:t>
      </w:r>
      <w:r w:rsidR="00F44905" w:rsidRPr="00B44D36">
        <w:rPr>
          <w:rStyle w:val="FontStyle18"/>
          <w:sz w:val="27"/>
          <w:szCs w:val="27"/>
          <w:lang w:val="uk-UA" w:eastAsia="uk-UA"/>
        </w:rPr>
        <w:t>ці</w:t>
      </w:r>
      <w:r w:rsidRPr="00B44D36">
        <w:rPr>
          <w:rStyle w:val="FontStyle18"/>
          <w:sz w:val="27"/>
          <w:szCs w:val="27"/>
          <w:lang w:val="uk-UA" w:eastAsia="uk-UA"/>
        </w:rPr>
        <w:t xml:space="preserve"> </w:t>
      </w:r>
      <w:r w:rsidR="00305F63" w:rsidRPr="00B44D36">
        <w:rPr>
          <w:rStyle w:val="FontStyle18"/>
          <w:sz w:val="27"/>
          <w:szCs w:val="27"/>
          <w:lang w:val="uk-UA" w:eastAsia="uk-UA"/>
        </w:rPr>
        <w:t xml:space="preserve">в ЦОП </w:t>
      </w:r>
      <w:r w:rsidRPr="00B44D36">
        <w:rPr>
          <w:rStyle w:val="FontStyle18"/>
          <w:sz w:val="27"/>
          <w:szCs w:val="27"/>
          <w:lang w:val="uk-UA" w:eastAsia="uk-UA"/>
        </w:rPr>
        <w:t xml:space="preserve">надано біля </w:t>
      </w:r>
      <w:r w:rsidR="00305F63" w:rsidRPr="00B44D36">
        <w:rPr>
          <w:rStyle w:val="FontStyle18"/>
          <w:sz w:val="27"/>
          <w:szCs w:val="27"/>
          <w:lang w:val="uk-UA" w:eastAsia="uk-UA"/>
        </w:rPr>
        <w:t>75</w:t>
      </w:r>
      <w:r w:rsidR="00305F63" w:rsidRPr="00B44D36">
        <w:rPr>
          <w:sz w:val="27"/>
          <w:szCs w:val="27"/>
          <w:lang w:val="uk-UA"/>
        </w:rPr>
        <w:t> </w:t>
      </w:r>
      <w:r w:rsidR="00305F63" w:rsidRPr="00B44D36">
        <w:rPr>
          <w:rStyle w:val="FontStyle18"/>
          <w:sz w:val="27"/>
          <w:szCs w:val="27"/>
          <w:lang w:val="uk-UA" w:eastAsia="uk-UA"/>
        </w:rPr>
        <w:t xml:space="preserve">959 </w:t>
      </w:r>
      <w:r w:rsidRPr="00B44D36">
        <w:rPr>
          <w:rStyle w:val="FontStyle18"/>
          <w:sz w:val="27"/>
          <w:szCs w:val="27"/>
          <w:lang w:val="uk-UA" w:eastAsia="uk-UA"/>
        </w:rPr>
        <w:t>адміністративних послуг платникам податків</w:t>
      </w:r>
      <w:r w:rsidR="005E3ACF" w:rsidRPr="00B44D36">
        <w:rPr>
          <w:rStyle w:val="FontStyle18"/>
          <w:sz w:val="27"/>
          <w:szCs w:val="27"/>
          <w:lang w:val="uk-UA" w:eastAsia="uk-UA"/>
        </w:rPr>
        <w:t xml:space="preserve">, у тому числі Головним управлінням ДФС області видано 5 681 ліцензію, надано </w:t>
      </w:r>
      <w:r w:rsidR="00514915" w:rsidRPr="00B44D36">
        <w:rPr>
          <w:rStyle w:val="FontStyle18"/>
          <w:sz w:val="27"/>
          <w:szCs w:val="27"/>
          <w:lang w:val="uk-UA" w:eastAsia="uk-UA"/>
        </w:rPr>
        <w:t>безкоштовні послуги по отриманню електронно-цифрового підпису (ЕЦП) 7910 платникам податків</w:t>
      </w:r>
      <w:r w:rsidR="005E3ACF" w:rsidRPr="00B44D36">
        <w:rPr>
          <w:rStyle w:val="FontStyle18"/>
          <w:sz w:val="27"/>
          <w:szCs w:val="27"/>
          <w:lang w:val="uk-UA" w:eastAsia="uk-UA"/>
        </w:rPr>
        <w:t xml:space="preserve">. </w:t>
      </w:r>
    </w:p>
    <w:p w:rsidR="00AF53AC" w:rsidRPr="00B44D36" w:rsidRDefault="00AF53AC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Також, забезпечено реалізацію процедури взяття на облік суб’єктів господарювання за один день за принципом «єдиного вікна». Станом на 01.01.2017 року на обліку в органах ДФС у області перебуває 66,7 тис. платників податків. </w:t>
      </w:r>
    </w:p>
    <w:p w:rsidR="005C3EC9" w:rsidRPr="00B44D36" w:rsidRDefault="00283DFE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Слід зазначити, що за даними постійного анкетування суб’єктів господарювання – клієнтів ЦОП, яке проводиться систематично Головним правлінням ДФС у області</w:t>
      </w:r>
      <w:r w:rsidR="00211E03" w:rsidRPr="00B44D36">
        <w:rPr>
          <w:rFonts w:ascii="Times New Roman" w:hAnsi="Times New Roman" w:cs="Times New Roman"/>
          <w:sz w:val="27"/>
          <w:szCs w:val="27"/>
          <w:lang w:val="uk-UA"/>
        </w:rPr>
        <w:t>, відзначені позитивні зміни та відвідувачі ЦОП в основному задоволені якісним сервісом та обслуговуванням.</w:t>
      </w:r>
    </w:p>
    <w:p w:rsidR="00211E03" w:rsidRPr="00B44D36" w:rsidRDefault="00211E03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C3EC9" w:rsidRPr="00B44D36" w:rsidRDefault="005C3EC9" w:rsidP="00354991">
      <w:pPr>
        <w:widowControl w:val="0"/>
        <w:spacing w:after="0" w:line="20" w:lineRule="atLeast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Напрямок:</w:t>
      </w:r>
      <w:r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Розвиток наявних і впровадження інформаційних електронних сервісів для громадян та бізнесу.</w:t>
      </w:r>
    </w:p>
    <w:p w:rsidR="002E3795" w:rsidRPr="00B44D36" w:rsidRDefault="00456E4A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напрямку у 2016 році Програмою передбачено</w:t>
      </w:r>
      <w:r w:rsidR="002E3795" w:rsidRPr="00B44D36">
        <w:rPr>
          <w:rFonts w:ascii="Times New Roman" w:hAnsi="Times New Roman" w:cs="Times New Roman"/>
          <w:sz w:val="27"/>
          <w:szCs w:val="27"/>
          <w:lang w:val="uk-UA"/>
        </w:rPr>
        <w:t>, фактично профінансовано та освоєно</w:t>
      </w:r>
      <w:r w:rsidR="002E3795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15 тис. грн. (КЕКВ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– </w:t>
      </w:r>
      <w:r w:rsidR="002E3795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3110).</w:t>
      </w:r>
    </w:p>
    <w:p w:rsidR="00F57F1B" w:rsidRPr="00B44D36" w:rsidRDefault="002E3795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Програмне фінансування заходів у 2016 році, спрямоване на підтримку в належному технічному стані та вдосконалення електронних сервісів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, в тому числі «Електронний кабінет платника податків», «Дані реєстру платників податків», «Дізнайся більше про свого бізнес – партнера», «ІДД ЗІР», «Анулювання ризикових платників ПДВ», «Антикорупційний сервіс ПУЛЬС», «Декларування он–лайн», «Реєстр платників єдиного податку», «Електронна звітність» та інших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>що діють і знаходяться на обслуговуванні відомства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2C04A1" w:rsidRPr="00B44D36">
        <w:rPr>
          <w:rFonts w:ascii="Times New Roman" w:hAnsi="Times New Roman" w:cs="Times New Roman"/>
          <w:sz w:val="27"/>
          <w:szCs w:val="27"/>
          <w:lang w:val="uk-UA"/>
        </w:rPr>
        <w:t>абезпеч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>ен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="002C04A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їх </w:t>
      </w:r>
      <w:r w:rsidR="002C04A1" w:rsidRPr="00B44D36">
        <w:rPr>
          <w:rFonts w:ascii="Times New Roman" w:hAnsi="Times New Roman" w:cs="Times New Roman"/>
          <w:sz w:val="27"/>
          <w:szCs w:val="27"/>
          <w:lang w:val="uk-UA"/>
        </w:rPr>
        <w:t>б</w:t>
      </w:r>
      <w:r w:rsidR="00721FC6" w:rsidRPr="00B44D36">
        <w:rPr>
          <w:rFonts w:ascii="Times New Roman" w:hAnsi="Times New Roman" w:cs="Times New Roman"/>
          <w:sz w:val="27"/>
          <w:szCs w:val="27"/>
          <w:lang w:val="uk-UA"/>
        </w:rPr>
        <w:t>езперебійн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е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21FC6" w:rsidRPr="00B44D36">
        <w:rPr>
          <w:rFonts w:ascii="Times New Roman" w:hAnsi="Times New Roman" w:cs="Times New Roman"/>
          <w:sz w:val="27"/>
          <w:szCs w:val="27"/>
          <w:lang w:val="uk-UA"/>
        </w:rPr>
        <w:t>і надійн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е</w:t>
      </w:r>
      <w:r w:rsidR="00721F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функціонування</w:t>
      </w:r>
      <w:r w:rsidR="00AF53AC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514915" w:rsidRPr="00B44D36" w:rsidRDefault="005E3ACF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Це дозволило територіальним органам ДФС у 2016 році</w:t>
      </w:r>
      <w:r w:rsidR="00514915" w:rsidRPr="00B44D36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5E3ACF" w:rsidRPr="00B44D36" w:rsidRDefault="00514915" w:rsidP="00354991">
      <w:pPr>
        <w:pStyle w:val="a3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– </w:t>
      </w:r>
      <w:r w:rsidR="005E3ACF" w:rsidRPr="00B44D36">
        <w:rPr>
          <w:rFonts w:ascii="Times New Roman" w:hAnsi="Times New Roman" w:cs="Times New Roman"/>
          <w:sz w:val="27"/>
          <w:szCs w:val="27"/>
          <w:lang w:val="uk-UA"/>
        </w:rPr>
        <w:t>опрацювати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E3ACF" w:rsidRPr="00B44D36">
        <w:rPr>
          <w:rFonts w:ascii="Times New Roman" w:hAnsi="Times New Roman" w:cs="Times New Roman"/>
          <w:sz w:val="27"/>
          <w:szCs w:val="27"/>
          <w:lang w:val="uk-UA"/>
        </w:rPr>
        <w:t>356,6 тис. звітів платників податків, що надійшли в електронному вигляді (або 75 відсотків від загального обсягу податкових звітів, поданих платниками податків у 2016 році до фіскальних органів області (всього 471,8 тис. з</w:t>
      </w:r>
      <w:r w:rsidR="00942216" w:rsidRPr="00B44D36">
        <w:rPr>
          <w:rFonts w:ascii="Times New Roman" w:hAnsi="Times New Roman" w:cs="Times New Roman"/>
          <w:sz w:val="27"/>
          <w:szCs w:val="27"/>
          <w:lang w:val="uk-UA"/>
        </w:rPr>
        <w:t>вітів);</w:t>
      </w:r>
    </w:p>
    <w:p w:rsidR="00514915" w:rsidRPr="00B44D36" w:rsidRDefault="00514915" w:rsidP="00354991">
      <w:pPr>
        <w:pStyle w:val="a3"/>
        <w:numPr>
          <w:ilvl w:val="0"/>
          <w:numId w:val="19"/>
        </w:numPr>
        <w:tabs>
          <w:tab w:val="left" w:pos="993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здійснювати щомісяця моніторинг осіб, які зареєстровані як платники </w:t>
      </w:r>
      <w:r w:rsidR="00141BF0" w:rsidRPr="00B44D36">
        <w:rPr>
          <w:rFonts w:ascii="Times New Roman" w:hAnsi="Times New Roman" w:cs="Times New Roman"/>
          <w:sz w:val="27"/>
          <w:szCs w:val="27"/>
          <w:lang w:val="uk-UA"/>
        </w:rPr>
        <w:t>податку на додану вартість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, та які впродовж 12 послідовних податкових місяців не подають до податкових органів області декларації з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цього податку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або подають таку декларацію, що свідчить про відсутність постачання/придбання товарів, послуг з метою формування податкового зобов’язання чи податкового кредиту. Переліки формувалися для подальшого анулювання реєстрації платника податку відповідно до </w:t>
      </w:r>
      <w:r w:rsidR="00942216" w:rsidRPr="00B44D36">
        <w:rPr>
          <w:rFonts w:ascii="Times New Roman" w:hAnsi="Times New Roman" w:cs="Times New Roman"/>
          <w:sz w:val="27"/>
          <w:szCs w:val="27"/>
          <w:lang w:val="uk-UA"/>
        </w:rPr>
        <w:t>вимог податкового законодавства;</w:t>
      </w:r>
    </w:p>
    <w:p w:rsidR="00F57F1B" w:rsidRPr="00B44D36" w:rsidRDefault="00F80DDF" w:rsidP="00354991">
      <w:pPr>
        <w:pStyle w:val="a3"/>
        <w:numPr>
          <w:ilvl w:val="0"/>
          <w:numId w:val="19"/>
        </w:numPr>
        <w:tabs>
          <w:tab w:val="left" w:pos="900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формувати 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>щоміся</w:t>
      </w:r>
      <w:r w:rsidR="00514915" w:rsidRPr="00B44D36">
        <w:rPr>
          <w:rFonts w:ascii="Times New Roman" w:hAnsi="Times New Roman" w:cs="Times New Roman"/>
          <w:sz w:val="27"/>
          <w:szCs w:val="27"/>
          <w:lang w:val="uk-UA"/>
        </w:rPr>
        <w:t>ця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переліки платників експортерів (</w:t>
      </w:r>
      <w:r w:rsidR="00283DFE" w:rsidRPr="00B44D36">
        <w:rPr>
          <w:rFonts w:ascii="Times New Roman" w:hAnsi="Times New Roman" w:cs="Times New Roman"/>
          <w:sz w:val="27"/>
          <w:szCs w:val="27"/>
          <w:lang w:val="uk-UA"/>
        </w:rPr>
        <w:t>не зареєстрованих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як платники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податку на додану вартість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), які </w:t>
      </w:r>
      <w:r w:rsidR="00283DFE" w:rsidRPr="00B44D36">
        <w:rPr>
          <w:rFonts w:ascii="Times New Roman" w:hAnsi="Times New Roman" w:cs="Times New Roman"/>
          <w:sz w:val="27"/>
          <w:szCs w:val="27"/>
          <w:lang w:val="uk-UA"/>
        </w:rPr>
        <w:t>впродовж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попередніх 12 місяців здійснювали експортні та імпортні операції у обсягах, передбачених </w:t>
      </w:r>
      <w:r w:rsidR="00283DFE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Податковим кодексом України </w:t>
      </w:r>
      <w:r w:rsidR="00F57F1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для необхідної реєстрації платниками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податку</w:t>
      </w:r>
      <w:r w:rsidR="00942216" w:rsidRPr="00B44D36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B52336" w:rsidRPr="00B44D36" w:rsidRDefault="00514915" w:rsidP="00354991">
      <w:pPr>
        <w:pStyle w:val="a4"/>
        <w:spacing w:before="0" w:beforeAutospacing="0" w:after="0" w:afterAutospacing="0" w:line="20" w:lineRule="atLeast"/>
        <w:ind w:left="57" w:firstLine="720"/>
        <w:jc w:val="both"/>
        <w:rPr>
          <w:sz w:val="27"/>
          <w:szCs w:val="27"/>
          <w:lang w:val="uk-UA"/>
        </w:rPr>
      </w:pPr>
      <w:r w:rsidRPr="00B44D36">
        <w:rPr>
          <w:sz w:val="27"/>
          <w:szCs w:val="27"/>
          <w:lang w:val="uk-UA"/>
        </w:rPr>
        <w:t xml:space="preserve">– </w:t>
      </w:r>
      <w:r w:rsidR="00B52336" w:rsidRPr="00B44D36">
        <w:rPr>
          <w:sz w:val="27"/>
          <w:szCs w:val="27"/>
          <w:lang w:val="uk-UA"/>
        </w:rPr>
        <w:t>запровад</w:t>
      </w:r>
      <w:r w:rsidRPr="00B44D36">
        <w:rPr>
          <w:sz w:val="27"/>
          <w:szCs w:val="27"/>
          <w:lang w:val="uk-UA"/>
        </w:rPr>
        <w:t>ити</w:t>
      </w:r>
      <w:r w:rsidR="00B52336" w:rsidRPr="00B44D36">
        <w:rPr>
          <w:sz w:val="27"/>
          <w:szCs w:val="27"/>
          <w:lang w:val="uk-UA"/>
        </w:rPr>
        <w:t xml:space="preserve"> </w:t>
      </w:r>
      <w:r w:rsidR="00305F63" w:rsidRPr="00B44D36">
        <w:rPr>
          <w:sz w:val="27"/>
          <w:szCs w:val="27"/>
          <w:lang w:val="uk-UA"/>
        </w:rPr>
        <w:t xml:space="preserve">з початку 2016 року </w:t>
      </w:r>
      <w:r w:rsidR="00942216" w:rsidRPr="00B44D36">
        <w:rPr>
          <w:sz w:val="27"/>
          <w:szCs w:val="27"/>
          <w:lang w:val="uk-UA"/>
        </w:rPr>
        <w:t xml:space="preserve">дистанційну послугу </w:t>
      </w:r>
      <w:r w:rsidRPr="00B44D36">
        <w:rPr>
          <w:sz w:val="27"/>
          <w:szCs w:val="27"/>
          <w:lang w:val="uk-UA"/>
        </w:rPr>
        <w:t xml:space="preserve">та провести </w:t>
      </w:r>
      <w:r w:rsidR="00942216" w:rsidRPr="00B44D36">
        <w:rPr>
          <w:sz w:val="27"/>
          <w:szCs w:val="27"/>
          <w:lang w:val="uk-UA"/>
        </w:rPr>
        <w:t xml:space="preserve">92 364 електронних перевірок </w:t>
      </w:r>
      <w:r w:rsidR="00305F63" w:rsidRPr="00B44D36">
        <w:rPr>
          <w:sz w:val="27"/>
          <w:szCs w:val="27"/>
          <w:lang w:val="uk-UA"/>
        </w:rPr>
        <w:t>суб’єктів господарювання</w:t>
      </w:r>
      <w:r w:rsidR="00FA23D6" w:rsidRPr="00B44D36">
        <w:rPr>
          <w:sz w:val="27"/>
          <w:szCs w:val="27"/>
          <w:lang w:val="uk-UA"/>
        </w:rPr>
        <w:t xml:space="preserve"> в режимі он-лайн</w:t>
      </w:r>
      <w:r w:rsidR="00305F63" w:rsidRPr="00B44D36">
        <w:rPr>
          <w:sz w:val="27"/>
          <w:szCs w:val="27"/>
          <w:lang w:val="uk-UA"/>
        </w:rPr>
        <w:t>.</w:t>
      </w:r>
    </w:p>
    <w:p w:rsidR="00F80DDF" w:rsidRPr="00B44D36" w:rsidRDefault="00F80DDF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5C3EC9" w:rsidRPr="00B44D36" w:rsidRDefault="007B2E19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Напрямок:</w:t>
      </w:r>
      <w:r w:rsidR="005C3EC9" w:rsidRPr="00B44D3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="005C3EC9"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Побудова сучасної та динамічної ІТ</w:t>
      </w:r>
      <w:r w:rsidR="00F80DDF"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>-</w:t>
      </w:r>
      <w:r w:rsidR="005C3EC9" w:rsidRPr="00B44D36">
        <w:rPr>
          <w:rFonts w:ascii="Times New Roman" w:hAnsi="Times New Roman" w:cs="Times New Roman"/>
          <w:b/>
          <w:bCs/>
          <w:i/>
          <w:sz w:val="27"/>
          <w:szCs w:val="27"/>
          <w:lang w:val="uk-UA"/>
        </w:rPr>
        <w:t xml:space="preserve"> функції, забезпечення високого рівня продуктивності, надійності та безпеки інформаційно-телекомунікаційних систем.</w:t>
      </w:r>
    </w:p>
    <w:p w:rsidR="005C3EC9" w:rsidRPr="00B44D36" w:rsidRDefault="00456E4A" w:rsidP="00354991">
      <w:pPr>
        <w:pStyle w:val="a3"/>
        <w:spacing w:after="0" w:line="20" w:lineRule="atLeast"/>
        <w:ind w:left="57" w:firstLine="720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На реалізацію цього напрямку у 2016 році Програмою передбачено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>, фактично профінансовано та освоєно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100 тис. грн. (КЕКВ</w:t>
      </w:r>
      <w:r w:rsidR="0035499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>–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3110</w:t>
      </w:r>
      <w:r w:rsidR="00460016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та 2240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).</w:t>
      </w:r>
    </w:p>
    <w:p w:rsidR="005C3EC9" w:rsidRPr="00B44D36" w:rsidRDefault="00CF33C6" w:rsidP="00354991">
      <w:pPr>
        <w:pStyle w:val="a3"/>
        <w:spacing w:after="0" w:line="20" w:lineRule="atLeast"/>
        <w:ind w:left="57" w:firstLine="720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Програмне фінансування спрямоване на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роз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>будов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сучасної та динамічної ІТ</w:t>
      </w:r>
      <w:r w:rsidR="00FB4DC6" w:rsidRPr="00B44D36">
        <w:rPr>
          <w:rFonts w:ascii="Times New Roman" w:hAnsi="Times New Roman" w:cs="Times New Roman"/>
          <w:bCs/>
          <w:sz w:val="27"/>
          <w:szCs w:val="27"/>
          <w:lang w:val="uk-UA"/>
        </w:rPr>
        <w:t>-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функції, забезпечення високого рівня продуктивності, надійності та безпеки інформаційно-телекомунікаційних систем</w:t>
      </w:r>
      <w:r w:rsidRPr="00B44D36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  <w:r w:rsidR="005C3EC9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:rsidR="00FB1FB1" w:rsidRPr="00B44D36" w:rsidRDefault="00CF33C6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lastRenderedPageBreak/>
        <w:t>З цією метою Головним управлінням ДФС у області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забезпечено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CF33C6" w:rsidRPr="00B44D36" w:rsidRDefault="00FB1FB1" w:rsidP="00354991">
      <w:pPr>
        <w:pStyle w:val="a3"/>
        <w:spacing w:after="0" w:line="20" w:lineRule="atLeast"/>
        <w:ind w:left="0"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–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удосконалення та підвищення технічного рівня єдиної інформаційної та комп’ютерної мереж, як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 ході їх експлуатації 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потребу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ють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постійного оновлення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і утримання в належному технічному стані 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(для цього комп’ютерну мережу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дооснащено </w:t>
      </w:r>
      <w:r w:rsidR="00CF33C6" w:rsidRPr="00B44D36">
        <w:rPr>
          <w:rFonts w:ascii="Times New Roman" w:hAnsi="Times New Roman" w:cs="Times New Roman"/>
          <w:sz w:val="27"/>
          <w:szCs w:val="27"/>
          <w:lang w:val="uk-UA"/>
        </w:rPr>
        <w:t>6 (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шістьома</w:t>
      </w:r>
      <w:r w:rsidR="00CF33C6" w:rsidRPr="00B44D36">
        <w:rPr>
          <w:rFonts w:ascii="Times New Roman" w:hAnsi="Times New Roman" w:cs="Times New Roman"/>
          <w:sz w:val="27"/>
          <w:szCs w:val="27"/>
          <w:lang w:val="uk-UA"/>
        </w:rPr>
        <w:t>) багатофункціональни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ми</w:t>
      </w:r>
      <w:r w:rsidR="00CF33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пристро</w:t>
      </w:r>
      <w:r w:rsidR="00456E4A" w:rsidRPr="00B44D36">
        <w:rPr>
          <w:rFonts w:ascii="Times New Roman" w:hAnsi="Times New Roman" w:cs="Times New Roman"/>
          <w:sz w:val="27"/>
          <w:szCs w:val="27"/>
          <w:lang w:val="uk-UA"/>
        </w:rPr>
        <w:t>ями)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;</w:t>
      </w:r>
      <w:r w:rsidR="005C3EC9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5C3EC9" w:rsidRPr="00B44D36" w:rsidRDefault="00456E4A" w:rsidP="00354991">
      <w:pPr>
        <w:pStyle w:val="a3"/>
        <w:numPr>
          <w:ilvl w:val="0"/>
          <w:numId w:val="19"/>
        </w:numPr>
        <w:tabs>
          <w:tab w:val="left" w:pos="993"/>
        </w:tabs>
        <w:spacing w:after="0" w:line="20" w:lineRule="atLeast"/>
        <w:ind w:left="0" w:firstLine="72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підтримку у належному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режимі сервер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баз даних із збереження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реплікаці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ї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даних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та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розподіл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навантаження, що гарантує повну від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мостійкість (для цього 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проведений ремонт сервера баз даних, а саме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замінені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у сервера баз даних Fujitsu Primergy BX820S4 жорстк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диск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 інтерфейсом SAS та встановлено і налаштовано програмне забезпечення OC Centos 7 та Ceph Storage Cluster, яке забезпечує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збереження, реплікацію даних, розподіл навантаження</w:t>
      </w:r>
      <w:r w:rsidR="00FB4D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гарантує повну від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мостійкість)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>;</w:t>
      </w:r>
    </w:p>
    <w:p w:rsidR="005C3EC9" w:rsidRPr="00B44D36" w:rsidRDefault="00FB4DC6" w:rsidP="00354991">
      <w:pPr>
        <w:pStyle w:val="a3"/>
        <w:numPr>
          <w:ilvl w:val="0"/>
          <w:numId w:val="19"/>
        </w:numPr>
        <w:tabs>
          <w:tab w:val="left" w:pos="993"/>
        </w:tabs>
        <w:spacing w:after="0" w:line="20" w:lineRule="atLeast"/>
        <w:ind w:left="0"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оперативний доступ до баз даних МВС України для користування відомостями інформаційних реєстрів у сфері державної реєстрації речових прав на рухоме майно (транспорт)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(для здійснення даної процедури придбано та 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забезпечено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налашт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ування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3 (тр</w:t>
      </w:r>
      <w:r w:rsidR="00FA23D6" w:rsidRPr="00B44D36">
        <w:rPr>
          <w:rFonts w:ascii="Times New Roman" w:hAnsi="Times New Roman" w:cs="Times New Roman"/>
          <w:sz w:val="27"/>
          <w:szCs w:val="27"/>
          <w:lang w:val="uk-UA"/>
        </w:rPr>
        <w:t>ьох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) апаратних </w:t>
      </w:r>
      <w:r w:rsidR="00354991" w:rsidRPr="00B44D36">
        <w:rPr>
          <w:rFonts w:ascii="Times New Roman" w:hAnsi="Times New Roman" w:cs="Times New Roman"/>
          <w:sz w:val="27"/>
          <w:szCs w:val="27"/>
          <w:lang w:val="uk-UA"/>
        </w:rPr>
        <w:t>ключів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FB1FB1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4D127D" w:rsidRPr="00B44D36" w:rsidRDefault="004D127D" w:rsidP="00354991">
      <w:pPr>
        <w:widowControl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FB1FB1" w:rsidRPr="00B44D36" w:rsidRDefault="00FB1FB1" w:rsidP="00354991">
      <w:pPr>
        <w:pStyle w:val="a3"/>
        <w:widowControl w:val="0"/>
        <w:numPr>
          <w:ilvl w:val="0"/>
          <w:numId w:val="18"/>
        </w:numPr>
        <w:spacing w:after="0" w:line="20" w:lineRule="atLeast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Ефективність та результативність реалізації</w:t>
      </w:r>
    </w:p>
    <w:p w:rsidR="004D127D" w:rsidRPr="00B44D36" w:rsidRDefault="00FB1FB1" w:rsidP="00354991">
      <w:pPr>
        <w:pStyle w:val="a3"/>
        <w:widowControl w:val="0"/>
        <w:spacing w:after="0" w:line="20" w:lineRule="atLeast"/>
        <w:ind w:left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заходів Програми у 2016 році</w:t>
      </w:r>
    </w:p>
    <w:p w:rsidR="00FB4DC6" w:rsidRPr="00B44D36" w:rsidRDefault="008C381F" w:rsidP="00354991">
      <w:pPr>
        <w:widowControl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Забезпечення дієвого контролю за повнотою сплати податків, зборів та інших платежів Головним управлінням ДФС у Чернівецькій області та тісна взаємодія органів виконавчої влади, місцевого самоврядування дозволили</w:t>
      </w:r>
      <w:r w:rsidR="00015CCD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у 2016 році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забезпечити не лише повноцінне та своєчасне наповнення бюджетів, а й сприяли створенню комфортних умов для співпраці з фіскальними органами самих платників податків, вихованню високої податкової культури населення, підвищенню рівня добровільної сплати податків, зборів та обов’язкових платежів до бюджетів сіх рівнів</w:t>
      </w:r>
      <w:r w:rsidR="00015CCD" w:rsidRPr="00B44D36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6A6ED5" w:rsidRPr="00B44D36" w:rsidRDefault="00835B0D" w:rsidP="00354991">
      <w:pPr>
        <w:tabs>
          <w:tab w:val="left" w:pos="0"/>
        </w:tabs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Так, в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продовж 2016 року до бюджетів усіх рівнів мобілізовано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більше ніж 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6A6ED5"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>8 мл</w:t>
      </w:r>
      <w:r w:rsidR="006A6ED5" w:rsidRPr="00B44D36">
        <w:rPr>
          <w:rFonts w:ascii="Times New Roman" w:hAnsi="Times New Roman" w:cs="Times New Roman"/>
          <w:sz w:val="27"/>
          <w:szCs w:val="27"/>
          <w:lang w:val="uk-UA"/>
        </w:rPr>
        <w:t>рд. грн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>. Порівняно з 2015 рок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ом 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>з врахуванням контингенту платників (2</w:t>
      </w:r>
      <w:r w:rsidR="006A6ED5" w:rsidRPr="00B44D36">
        <w:rPr>
          <w:rFonts w:ascii="Times New Roman" w:hAnsi="Times New Roman" w:cs="Times New Roman"/>
          <w:sz w:val="27"/>
          <w:szCs w:val="27"/>
          <w:lang w:val="uk-UA"/>
        </w:rPr>
        <w:t>,07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мл</w:t>
      </w:r>
      <w:r w:rsidR="006A6ED5" w:rsidRPr="00B44D36">
        <w:rPr>
          <w:rFonts w:ascii="Times New Roman" w:hAnsi="Times New Roman" w:cs="Times New Roman"/>
          <w:sz w:val="27"/>
          <w:szCs w:val="27"/>
          <w:lang w:val="uk-UA"/>
        </w:rPr>
        <w:t>рд.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грн.)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обсяг збору платежів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зріс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на 791,3 млн. грн. (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або на</w:t>
      </w:r>
      <w:r w:rsidR="009961C6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38,3 відсотка).</w:t>
      </w:r>
    </w:p>
    <w:p w:rsidR="006A6ED5" w:rsidRPr="00B44D36" w:rsidRDefault="006A6ED5" w:rsidP="00354991">
      <w:pPr>
        <w:tabs>
          <w:tab w:val="left" w:pos="0"/>
        </w:tabs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Бюджети територіальних громад області </w:t>
      </w:r>
      <w:r w:rsidR="00015CC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2016 ро</w:t>
      </w:r>
      <w:r w:rsidR="00015CC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ці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отримали 1,7 млрд. грн</w:t>
      </w:r>
      <w:r w:rsidR="007E065E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7E065E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податків та обов’язкових 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платежів. Обсяги податкових надходжень перевищ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или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здобуток 2015 року на 560,9 млн. грн. або на 47,3 відсотка. Виконання 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індикативів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2016 року забезпечено на рівні 112,1 відсотків, таким чином місцеві бюджети отримали додаткове фінансування у розмірі 187,9 млн. грн.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які розширюють можливості 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місцев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громад використати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акумульовані кошти на фінансування соціально-культурної сфери регіону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зокрема, на </w:t>
      </w:r>
      <w:r w:rsidR="00835B0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додаткове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фінансування закладів освіти, культури, охорони здоров’я, вирішення інших </w:t>
      </w:r>
      <w:r w:rsidR="00015CCD"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нагальних </w:t>
      </w:r>
      <w:r w:rsidRPr="00B44D3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питань місцевих громад. </w:t>
      </w:r>
    </w:p>
    <w:p w:rsidR="00BD7600" w:rsidRPr="00B44D36" w:rsidRDefault="00BD7600" w:rsidP="00354991">
      <w:pPr>
        <w:spacing w:after="12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За підсумками 2016 року до державних цільових фондів Чернівецької області спрямовано 1,4 млрд. грн. єдиного внеску на загальнообов’язкове державне соціальне страхування (ЄСВ). Сума сплаченого ЄСВ  у  2016 році на 89 млн. грн. перевищила очікувані надходження у звітному році, а це відповідно 106,7 відсотків виконання прогнознозного показника, передбаченого на 2016 рік.</w:t>
      </w:r>
    </w:p>
    <w:p w:rsidR="006E642B" w:rsidRPr="00B44D36" w:rsidRDefault="00BD7600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У 2016 році зменшено на 19,2 відсотка в порівнянні з 2015 роком к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ількість документальних перевірок.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Так,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підрозділами аудиту Головного управління ДФС у області проведено </w:t>
      </w:r>
      <w:r w:rsidR="00F80DDF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всього 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321 документальну перевірку (з них 62 планових та 259 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позапланових). До бюджету донараховано неузгоджених та узгоджених сум грошових зобов’язань у сумі 39,4 млн. </w:t>
      </w:r>
      <w:r w:rsidR="00513E3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грн., у тому числі </w:t>
      </w:r>
      <w:r w:rsidR="00513E3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22,8 </w:t>
      </w:r>
      <w:r w:rsidR="00513E3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млн. грн. 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 плановими перевірками </w:t>
      </w:r>
      <w:r w:rsidR="00513E31" w:rsidRPr="00B44D36">
        <w:rPr>
          <w:rFonts w:ascii="Times New Roman" w:hAnsi="Times New Roman" w:cs="Times New Roman"/>
          <w:sz w:val="27"/>
          <w:szCs w:val="27"/>
          <w:lang w:val="uk-UA"/>
        </w:rPr>
        <w:t>та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13E31" w:rsidRPr="00B44D3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13,5 </w:t>
      </w:r>
      <w:r w:rsidR="00513E31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млн. грн. </w:t>
      </w:r>
      <w:r w:rsidR="006E642B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за </w:t>
      </w:r>
      <w:r w:rsidR="00513E31" w:rsidRPr="00B44D36">
        <w:rPr>
          <w:rFonts w:ascii="Times New Roman" w:hAnsi="Times New Roman" w:cs="Times New Roman"/>
          <w:sz w:val="27"/>
          <w:szCs w:val="27"/>
          <w:lang w:val="uk-UA"/>
        </w:rPr>
        <w:t>позаплановими перевірками.</w:t>
      </w:r>
    </w:p>
    <w:p w:rsidR="006E642B" w:rsidRPr="00B44D36" w:rsidRDefault="006E642B" w:rsidP="00354991">
      <w:pPr>
        <w:shd w:val="clear" w:color="auto" w:fill="FFFFFF"/>
        <w:spacing w:after="0" w:line="20" w:lineRule="atLeast"/>
        <w:ind w:firstLine="720"/>
        <w:jc w:val="both"/>
        <w:rPr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Зменшено від'ємне значення об'єкта </w:t>
      </w:r>
      <w:r w:rsidRPr="00B44D36">
        <w:rPr>
          <w:rFonts w:ascii="Times New Roman" w:hAnsi="Times New Roman" w:cs="Times New Roman"/>
          <w:spacing w:val="-2"/>
          <w:sz w:val="27"/>
          <w:szCs w:val="27"/>
          <w:lang w:val="uk-UA"/>
        </w:rPr>
        <w:t>оподаткування податком на прибуток на 20,8 млн. грн.; зменшено залишк</w:t>
      </w:r>
      <w:r w:rsidR="00BD7600" w:rsidRPr="00B44D36">
        <w:rPr>
          <w:rFonts w:ascii="Times New Roman" w:hAnsi="Times New Roman" w:cs="Times New Roman"/>
          <w:spacing w:val="-2"/>
          <w:sz w:val="27"/>
          <w:szCs w:val="27"/>
          <w:lang w:val="uk-UA"/>
        </w:rPr>
        <w:t>и</w:t>
      </w:r>
      <w:r w:rsidRPr="00B44D36">
        <w:rPr>
          <w:rFonts w:ascii="Times New Roman" w:hAnsi="Times New Roman" w:cs="Times New Roman"/>
          <w:spacing w:val="-2"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від'ємного значення з податку на додану вартість, який після бюджетного відшкодування </w:t>
      </w:r>
      <w:r w:rsidRPr="00B44D36">
        <w:rPr>
          <w:rFonts w:ascii="Times New Roman" w:hAnsi="Times New Roman" w:cs="Times New Roman"/>
          <w:spacing w:val="-1"/>
          <w:sz w:val="27"/>
          <w:szCs w:val="27"/>
          <w:lang w:val="uk-UA"/>
        </w:rPr>
        <w:t xml:space="preserve">включається до складу податкового кредиту наступного податкового періоду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на 7,8 млн. грн</w:t>
      </w:r>
      <w:r w:rsidRPr="00B44D36">
        <w:rPr>
          <w:sz w:val="27"/>
          <w:szCs w:val="27"/>
          <w:lang w:val="uk-UA"/>
        </w:rPr>
        <w:t xml:space="preserve">. </w:t>
      </w:r>
    </w:p>
    <w:p w:rsidR="00513E31" w:rsidRPr="00B44D36" w:rsidRDefault="00513E31" w:rsidP="00354991">
      <w:pPr>
        <w:pStyle w:val="3"/>
        <w:spacing w:line="20" w:lineRule="atLeast"/>
        <w:ind w:left="0" w:firstLine="720"/>
        <w:jc w:val="both"/>
        <w:rPr>
          <w:sz w:val="27"/>
          <w:szCs w:val="27"/>
        </w:rPr>
      </w:pPr>
      <w:r w:rsidRPr="00B44D36">
        <w:rPr>
          <w:sz w:val="27"/>
          <w:szCs w:val="27"/>
        </w:rPr>
        <w:t xml:space="preserve">Всього у 2016 році </w:t>
      </w:r>
      <w:r w:rsidR="00BD7600" w:rsidRPr="00B44D36">
        <w:rPr>
          <w:sz w:val="27"/>
          <w:szCs w:val="27"/>
        </w:rPr>
        <w:t xml:space="preserve">внаслідок проведеного аудиту </w:t>
      </w:r>
      <w:r w:rsidRPr="00B44D36">
        <w:rPr>
          <w:sz w:val="27"/>
          <w:szCs w:val="27"/>
        </w:rPr>
        <w:t>забезпечено стягнення донарахованих сум</w:t>
      </w:r>
      <w:r w:rsidR="00BD7600" w:rsidRPr="00B44D36">
        <w:rPr>
          <w:sz w:val="27"/>
          <w:szCs w:val="27"/>
        </w:rPr>
        <w:t xml:space="preserve"> за актами перевірок</w:t>
      </w:r>
      <w:r w:rsidRPr="00B44D36">
        <w:rPr>
          <w:sz w:val="27"/>
          <w:szCs w:val="27"/>
        </w:rPr>
        <w:t xml:space="preserve"> в розмірі 25,4 млн. грн. Рівень стягнення донарахованих сум по області скла</w:t>
      </w:r>
      <w:r w:rsidR="00BD7600" w:rsidRPr="00B44D36">
        <w:rPr>
          <w:sz w:val="27"/>
          <w:szCs w:val="27"/>
        </w:rPr>
        <w:t>в</w:t>
      </w:r>
      <w:r w:rsidRPr="00B44D36">
        <w:rPr>
          <w:sz w:val="27"/>
          <w:szCs w:val="27"/>
        </w:rPr>
        <w:t xml:space="preserve"> 90,0 відс., що на 44,6 відс. більше минулорічних стягнень (45,4 відс.).</w:t>
      </w:r>
    </w:p>
    <w:p w:rsidR="004F2305" w:rsidRPr="00B44D36" w:rsidRDefault="004F2305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Головним управлінням ДФС у області організ</w:t>
      </w:r>
      <w:r w:rsidR="00BD7600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ована 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>взаємоді</w:t>
      </w:r>
      <w:r w:rsidR="00BD7600" w:rsidRPr="00B44D36">
        <w:rPr>
          <w:rFonts w:ascii="Times New Roman" w:hAnsi="Times New Roman" w:cs="Times New Roman"/>
          <w:sz w:val="27"/>
          <w:szCs w:val="27"/>
          <w:lang w:val="uk-UA"/>
        </w:rPr>
        <w:t>я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 фінансовими органами, органами Державної казначейської служби, органами служби безпеки, внутрішніх справ, прокуратури, статистики, митної служби, Державної фінансової інспекції, органами державної влади та місцевого самоврядування області та іншими органами.</w:t>
      </w:r>
    </w:p>
    <w:p w:rsidR="00BD7600" w:rsidRPr="00B44D36" w:rsidRDefault="004F2305" w:rsidP="00354991">
      <w:pPr>
        <w:tabs>
          <w:tab w:val="left" w:pos="3514"/>
        </w:tabs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sz w:val="27"/>
          <w:szCs w:val="27"/>
          <w:lang w:val="uk-UA"/>
        </w:rPr>
        <w:t>Так, з органами місцевого самоврядування та органами земельних ресурсів щоквартально провод</w:t>
      </w:r>
      <w:r w:rsidR="00015CCD" w:rsidRPr="00B44D36">
        <w:rPr>
          <w:rFonts w:ascii="Times New Roman" w:hAnsi="Times New Roman" w:cs="Times New Roman"/>
          <w:sz w:val="27"/>
          <w:szCs w:val="27"/>
          <w:lang w:val="uk-UA"/>
        </w:rPr>
        <w:t>яться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звірки </w:t>
      </w:r>
      <w:r w:rsidR="00611D41" w:rsidRPr="00B44D36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 укладених (новоукладених) договорів оренди земельних ділянок, в розрізі площ земельних ділянок та нарахованих сум платежів за землекористування. </w:t>
      </w:r>
      <w:r w:rsidR="00BD7600" w:rsidRPr="00B44D36">
        <w:rPr>
          <w:rFonts w:ascii="Times New Roman" w:hAnsi="Times New Roman" w:cs="Times New Roman"/>
          <w:sz w:val="27"/>
          <w:szCs w:val="27"/>
          <w:lang w:val="uk-UA"/>
        </w:rPr>
        <w:t xml:space="preserve">Отже, надходження в рахунок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плати за землю 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у 2016 році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порівняно з фактом 2015 року (164,1 млн. грн.) зросли на 90,7 млн.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грн. (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або на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55,2 відс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.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).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Всього у 2016 році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надійшло 254,8 млн.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плати за землю. Доведений і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ндикатив 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в обсязі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217,6 млн.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грн. виконан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ий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на 117,1 відс. (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або на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37,3 млн.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г</w:t>
      </w:r>
      <w:r w:rsidR="00DC0313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>рн.).</w:t>
      </w:r>
      <w:r w:rsidR="00BD7600" w:rsidRPr="00B44D36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</w:p>
    <w:p w:rsidR="00D5723D" w:rsidRPr="00B44D36" w:rsidRDefault="00D5723D" w:rsidP="00354991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Спільно з іншими органами місцевої влади проведено 136 перевірок по виявленню роботодавців, які виплачують заробітну плату у «конвертах». З них встановлено 131 факт порушення вимог чинного законодавства. За підсумками цих перевірок донараховано основного платежу та застосовано штрафних санкцій на загальну суму 248,8 тис. </w:t>
      </w:r>
      <w:r w:rsidR="006E642B" w:rsidRPr="00B44D36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грн.</w:t>
      </w:r>
    </w:p>
    <w:p w:rsidR="004F2305" w:rsidRPr="00B44D36" w:rsidRDefault="004F2305" w:rsidP="00354991">
      <w:pPr>
        <w:pStyle w:val="3"/>
        <w:tabs>
          <w:tab w:val="left" w:pos="993"/>
        </w:tabs>
        <w:spacing w:after="0" w:line="20" w:lineRule="atLeast"/>
        <w:ind w:left="0" w:firstLine="720"/>
        <w:jc w:val="both"/>
        <w:rPr>
          <w:sz w:val="27"/>
          <w:szCs w:val="27"/>
        </w:rPr>
      </w:pPr>
      <w:r w:rsidRPr="00B44D36">
        <w:rPr>
          <w:sz w:val="27"/>
          <w:szCs w:val="27"/>
        </w:rPr>
        <w:t xml:space="preserve">За результатами рейдових перевірок щодо виявлення громадян, які здійснюють діяльність без належно оформлених документів, в частині порушення ч. 1 ст. 164 Кодексу України про адміністративні правопорушення, складено </w:t>
      </w:r>
      <w:r w:rsidR="001438BF" w:rsidRPr="00B44D36">
        <w:rPr>
          <w:sz w:val="27"/>
          <w:szCs w:val="27"/>
        </w:rPr>
        <w:t>52</w:t>
      </w:r>
      <w:r w:rsidRPr="00B44D36">
        <w:rPr>
          <w:sz w:val="27"/>
          <w:szCs w:val="27"/>
        </w:rPr>
        <w:t xml:space="preserve"> протокол</w:t>
      </w:r>
      <w:r w:rsidR="001438BF" w:rsidRPr="00B44D36">
        <w:rPr>
          <w:sz w:val="27"/>
          <w:szCs w:val="27"/>
        </w:rPr>
        <w:t>и</w:t>
      </w:r>
      <w:r w:rsidRPr="00B44D36">
        <w:rPr>
          <w:sz w:val="27"/>
          <w:szCs w:val="27"/>
        </w:rPr>
        <w:t xml:space="preserve"> про адміністративні правопорушення. Поряд з цим, проводи</w:t>
      </w:r>
      <w:r w:rsidR="00611D41" w:rsidRPr="00B44D36">
        <w:rPr>
          <w:sz w:val="27"/>
          <w:szCs w:val="27"/>
        </w:rPr>
        <w:t>лась</w:t>
      </w:r>
      <w:r w:rsidRPr="00B44D36">
        <w:rPr>
          <w:sz w:val="27"/>
          <w:szCs w:val="27"/>
        </w:rPr>
        <w:t xml:space="preserve"> робота по розширенню кола платників та залученн</w:t>
      </w:r>
      <w:r w:rsidR="00611D41" w:rsidRPr="00B44D36">
        <w:rPr>
          <w:sz w:val="27"/>
          <w:szCs w:val="27"/>
        </w:rPr>
        <w:t>я</w:t>
      </w:r>
      <w:r w:rsidRPr="00B44D36">
        <w:rPr>
          <w:sz w:val="27"/>
          <w:szCs w:val="27"/>
        </w:rPr>
        <w:t xml:space="preserve"> до державної реєстрації громадян. </w:t>
      </w:r>
    </w:p>
    <w:p w:rsidR="002B52D4" w:rsidRPr="00B44D36" w:rsidRDefault="008C381F" w:rsidP="00354991">
      <w:pPr>
        <w:spacing w:after="0" w:line="20" w:lineRule="atLeast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ab/>
      </w:r>
    </w:p>
    <w:p w:rsidR="00854CA8" w:rsidRPr="00B44D36" w:rsidRDefault="00352C41" w:rsidP="00354991">
      <w:pPr>
        <w:spacing w:after="0" w:line="20" w:lineRule="atLeast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В. о. н</w:t>
      </w:r>
      <w:r w:rsidR="004479C8" w:rsidRPr="00B44D36">
        <w:rPr>
          <w:rFonts w:ascii="Times New Roman" w:hAnsi="Times New Roman" w:cs="Times New Roman"/>
          <w:b/>
          <w:sz w:val="27"/>
          <w:szCs w:val="27"/>
          <w:lang w:val="uk-UA"/>
        </w:rPr>
        <w:t>ачальник</w:t>
      </w: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а</w:t>
      </w:r>
      <w:r w:rsidR="004479C8"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Головного управління</w:t>
      </w:r>
      <w:r w:rsidR="00854CA8"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</w:p>
    <w:p w:rsidR="00854CA8" w:rsidRPr="00B44D36" w:rsidRDefault="00854CA8" w:rsidP="00354991">
      <w:pPr>
        <w:spacing w:after="0" w:line="20" w:lineRule="atLeast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ДФС у Чернівецькій області                                                        В.</w:t>
      </w:r>
      <w:r w:rsidR="003C3A1C"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П. </w:t>
      </w:r>
      <w:r w:rsidR="003C3A1C" w:rsidRPr="00B44D3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B44D36">
        <w:rPr>
          <w:rFonts w:ascii="Times New Roman" w:hAnsi="Times New Roman" w:cs="Times New Roman"/>
          <w:b/>
          <w:sz w:val="27"/>
          <w:szCs w:val="27"/>
          <w:lang w:val="uk-UA"/>
        </w:rPr>
        <w:t>Шпак</w:t>
      </w:r>
    </w:p>
    <w:p w:rsidR="00F80DDF" w:rsidRPr="00B44D36" w:rsidRDefault="00F80DDF" w:rsidP="00F67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80DDF" w:rsidRPr="00B44D36" w:rsidSect="00F80DDF">
      <w:headerReference w:type="default" r:id="rId8"/>
      <w:pgSz w:w="11906" w:h="16838" w:code="9"/>
      <w:pgMar w:top="601" w:right="709" w:bottom="851" w:left="1418" w:header="567" w:footer="5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2B" w:rsidRDefault="0033002B" w:rsidP="0033555A">
      <w:pPr>
        <w:spacing w:after="0" w:line="240" w:lineRule="auto"/>
      </w:pPr>
      <w:r>
        <w:separator/>
      </w:r>
    </w:p>
  </w:endnote>
  <w:endnote w:type="continuationSeparator" w:id="0">
    <w:p w:rsidR="0033002B" w:rsidRDefault="0033002B" w:rsidP="00335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2B" w:rsidRDefault="0033002B" w:rsidP="0033555A">
      <w:pPr>
        <w:spacing w:after="0" w:line="240" w:lineRule="auto"/>
      </w:pPr>
      <w:r>
        <w:separator/>
      </w:r>
    </w:p>
  </w:footnote>
  <w:footnote w:type="continuationSeparator" w:id="0">
    <w:p w:rsidR="0033002B" w:rsidRDefault="0033002B" w:rsidP="00335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1879"/>
      <w:docPartObj>
        <w:docPartGallery w:val="Page Numbers (Top of Page)"/>
        <w:docPartUnique/>
      </w:docPartObj>
    </w:sdtPr>
    <w:sdtContent>
      <w:p w:rsidR="00681742" w:rsidRDefault="0019098C" w:rsidP="00A871AA">
        <w:pPr>
          <w:pStyle w:val="ac"/>
          <w:jc w:val="center"/>
        </w:pPr>
        <w:r w:rsidRPr="00A871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81742" w:rsidRPr="00A871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871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4D3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871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1742" w:rsidRDefault="0068174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5B9F"/>
    <w:multiLevelType w:val="hybridMultilevel"/>
    <w:tmpl w:val="BF3C19A8"/>
    <w:lvl w:ilvl="0" w:tplc="4D96E6B8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52003"/>
    <w:multiLevelType w:val="hybridMultilevel"/>
    <w:tmpl w:val="5A864ABE"/>
    <w:lvl w:ilvl="0" w:tplc="1F9CF9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CC01B84"/>
    <w:multiLevelType w:val="hybridMultilevel"/>
    <w:tmpl w:val="8E5CC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F172DF"/>
    <w:multiLevelType w:val="hybridMultilevel"/>
    <w:tmpl w:val="4A3A21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C6F627E"/>
    <w:multiLevelType w:val="hybridMultilevel"/>
    <w:tmpl w:val="FFFC14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433C07"/>
    <w:multiLevelType w:val="hybridMultilevel"/>
    <w:tmpl w:val="263ACA7C"/>
    <w:lvl w:ilvl="0" w:tplc="5C689C96">
      <w:start w:val="2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C425E"/>
    <w:multiLevelType w:val="hybridMultilevel"/>
    <w:tmpl w:val="9B5EE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117CC7"/>
    <w:multiLevelType w:val="hybridMultilevel"/>
    <w:tmpl w:val="9A44A56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BA2A79"/>
    <w:multiLevelType w:val="hybridMultilevel"/>
    <w:tmpl w:val="2DA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7102D1"/>
    <w:multiLevelType w:val="hybridMultilevel"/>
    <w:tmpl w:val="0246B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394DA8"/>
    <w:multiLevelType w:val="hybridMultilevel"/>
    <w:tmpl w:val="69648E1A"/>
    <w:lvl w:ilvl="0" w:tplc="ADA88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423DEA"/>
    <w:multiLevelType w:val="hybridMultilevel"/>
    <w:tmpl w:val="0BBC9C42"/>
    <w:lvl w:ilvl="0" w:tplc="1F9CF9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B851CE"/>
    <w:multiLevelType w:val="hybridMultilevel"/>
    <w:tmpl w:val="C0C26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F0A4B"/>
    <w:multiLevelType w:val="hybridMultilevel"/>
    <w:tmpl w:val="5F60575C"/>
    <w:lvl w:ilvl="0" w:tplc="2AA8D2E6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51D6121"/>
    <w:multiLevelType w:val="hybridMultilevel"/>
    <w:tmpl w:val="8166C5F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2C18DB"/>
    <w:multiLevelType w:val="hybridMultilevel"/>
    <w:tmpl w:val="9CB670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25D1AD5"/>
    <w:multiLevelType w:val="hybridMultilevel"/>
    <w:tmpl w:val="EC62E926"/>
    <w:lvl w:ilvl="0" w:tplc="1F9CF9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7D57D8C"/>
    <w:multiLevelType w:val="hybridMultilevel"/>
    <w:tmpl w:val="09EE55BE"/>
    <w:lvl w:ilvl="0" w:tplc="758CEF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E1AC5"/>
    <w:multiLevelType w:val="hybridMultilevel"/>
    <w:tmpl w:val="1182FFDC"/>
    <w:lvl w:ilvl="0" w:tplc="41F49B66">
      <w:start w:val="2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9"/>
  </w:num>
  <w:num w:numId="5">
    <w:abstractNumId w:val="8"/>
  </w:num>
  <w:num w:numId="6">
    <w:abstractNumId w:val="16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14"/>
  </w:num>
  <w:num w:numId="12">
    <w:abstractNumId w:val="18"/>
  </w:num>
  <w:num w:numId="13">
    <w:abstractNumId w:val="2"/>
  </w:num>
  <w:num w:numId="14">
    <w:abstractNumId w:val="5"/>
  </w:num>
  <w:num w:numId="15">
    <w:abstractNumId w:val="3"/>
  </w:num>
  <w:num w:numId="16">
    <w:abstractNumId w:val="0"/>
  </w:num>
  <w:num w:numId="17">
    <w:abstractNumId w:val="10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317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03639"/>
    <w:rsid w:val="00015CCD"/>
    <w:rsid w:val="000174D0"/>
    <w:rsid w:val="0002672B"/>
    <w:rsid w:val="00032739"/>
    <w:rsid w:val="00037A0E"/>
    <w:rsid w:val="0004778D"/>
    <w:rsid w:val="00071C75"/>
    <w:rsid w:val="00076A38"/>
    <w:rsid w:val="00097ABC"/>
    <w:rsid w:val="000A3F73"/>
    <w:rsid w:val="000A5B20"/>
    <w:rsid w:val="000B42B2"/>
    <w:rsid w:val="000B5D04"/>
    <w:rsid w:val="000C12DA"/>
    <w:rsid w:val="000C4AAD"/>
    <w:rsid w:val="000D05F7"/>
    <w:rsid w:val="000D4B6D"/>
    <w:rsid w:val="000F0DB7"/>
    <w:rsid w:val="000F22A4"/>
    <w:rsid w:val="000F37E3"/>
    <w:rsid w:val="001000E3"/>
    <w:rsid w:val="0010093B"/>
    <w:rsid w:val="00111DAE"/>
    <w:rsid w:val="001317D7"/>
    <w:rsid w:val="00141BF0"/>
    <w:rsid w:val="001438BF"/>
    <w:rsid w:val="00155527"/>
    <w:rsid w:val="00157137"/>
    <w:rsid w:val="00182AC5"/>
    <w:rsid w:val="001858D7"/>
    <w:rsid w:val="00187BDB"/>
    <w:rsid w:val="0019098C"/>
    <w:rsid w:val="00194B39"/>
    <w:rsid w:val="0019782A"/>
    <w:rsid w:val="001A71C8"/>
    <w:rsid w:val="001B5E6D"/>
    <w:rsid w:val="001C0758"/>
    <w:rsid w:val="001C5089"/>
    <w:rsid w:val="001E08F6"/>
    <w:rsid w:val="001E3464"/>
    <w:rsid w:val="001F191E"/>
    <w:rsid w:val="001F3334"/>
    <w:rsid w:val="00200C6F"/>
    <w:rsid w:val="002013AF"/>
    <w:rsid w:val="00201894"/>
    <w:rsid w:val="00211E03"/>
    <w:rsid w:val="00232EEC"/>
    <w:rsid w:val="00260122"/>
    <w:rsid w:val="002644DE"/>
    <w:rsid w:val="00266D3D"/>
    <w:rsid w:val="00267150"/>
    <w:rsid w:val="00267900"/>
    <w:rsid w:val="00283DFE"/>
    <w:rsid w:val="00286AA9"/>
    <w:rsid w:val="00291A1C"/>
    <w:rsid w:val="0029316C"/>
    <w:rsid w:val="002A08B0"/>
    <w:rsid w:val="002A1551"/>
    <w:rsid w:val="002B52D4"/>
    <w:rsid w:val="002C004A"/>
    <w:rsid w:val="002C04A1"/>
    <w:rsid w:val="002C15E5"/>
    <w:rsid w:val="002D419C"/>
    <w:rsid w:val="002D61A8"/>
    <w:rsid w:val="002E3795"/>
    <w:rsid w:val="002E533D"/>
    <w:rsid w:val="00305F63"/>
    <w:rsid w:val="00313F43"/>
    <w:rsid w:val="0033002B"/>
    <w:rsid w:val="0033555A"/>
    <w:rsid w:val="00345B2B"/>
    <w:rsid w:val="00351A14"/>
    <w:rsid w:val="00352C41"/>
    <w:rsid w:val="00354991"/>
    <w:rsid w:val="00356775"/>
    <w:rsid w:val="00366607"/>
    <w:rsid w:val="00381803"/>
    <w:rsid w:val="00386CDE"/>
    <w:rsid w:val="003911CE"/>
    <w:rsid w:val="00394962"/>
    <w:rsid w:val="003A38B1"/>
    <w:rsid w:val="003B1E6A"/>
    <w:rsid w:val="003B78D6"/>
    <w:rsid w:val="003C3A1C"/>
    <w:rsid w:val="003E69F4"/>
    <w:rsid w:val="003E707C"/>
    <w:rsid w:val="003F7BB8"/>
    <w:rsid w:val="00412BB9"/>
    <w:rsid w:val="00424899"/>
    <w:rsid w:val="00435636"/>
    <w:rsid w:val="004479C8"/>
    <w:rsid w:val="00454DC4"/>
    <w:rsid w:val="00456E4A"/>
    <w:rsid w:val="00460016"/>
    <w:rsid w:val="00480D75"/>
    <w:rsid w:val="004847AE"/>
    <w:rsid w:val="00492DEC"/>
    <w:rsid w:val="0049598C"/>
    <w:rsid w:val="004A6ECF"/>
    <w:rsid w:val="004B14B9"/>
    <w:rsid w:val="004D127D"/>
    <w:rsid w:val="004D3EE3"/>
    <w:rsid w:val="004D42B9"/>
    <w:rsid w:val="004D7E6E"/>
    <w:rsid w:val="004E2AD1"/>
    <w:rsid w:val="004F00BE"/>
    <w:rsid w:val="004F2305"/>
    <w:rsid w:val="00513E31"/>
    <w:rsid w:val="00514915"/>
    <w:rsid w:val="00530A3C"/>
    <w:rsid w:val="00543C4C"/>
    <w:rsid w:val="00571056"/>
    <w:rsid w:val="00582EAA"/>
    <w:rsid w:val="005838B6"/>
    <w:rsid w:val="005A187A"/>
    <w:rsid w:val="005A1EE5"/>
    <w:rsid w:val="005C3EC9"/>
    <w:rsid w:val="005D1304"/>
    <w:rsid w:val="005D6B64"/>
    <w:rsid w:val="005D767F"/>
    <w:rsid w:val="005E3ACF"/>
    <w:rsid w:val="005F3CEE"/>
    <w:rsid w:val="005F7FC1"/>
    <w:rsid w:val="00611D41"/>
    <w:rsid w:val="00634AC6"/>
    <w:rsid w:val="00636DA4"/>
    <w:rsid w:val="00640C4C"/>
    <w:rsid w:val="00642FB6"/>
    <w:rsid w:val="006546F2"/>
    <w:rsid w:val="00655CBF"/>
    <w:rsid w:val="006655AC"/>
    <w:rsid w:val="00666630"/>
    <w:rsid w:val="0067053A"/>
    <w:rsid w:val="0067256F"/>
    <w:rsid w:val="00681742"/>
    <w:rsid w:val="00696578"/>
    <w:rsid w:val="006A6ED5"/>
    <w:rsid w:val="006B18E1"/>
    <w:rsid w:val="006B5D5E"/>
    <w:rsid w:val="006C375A"/>
    <w:rsid w:val="006C55A3"/>
    <w:rsid w:val="006C59A1"/>
    <w:rsid w:val="006C6EDF"/>
    <w:rsid w:val="006E19A3"/>
    <w:rsid w:val="006E246D"/>
    <w:rsid w:val="006E642B"/>
    <w:rsid w:val="006E6998"/>
    <w:rsid w:val="006F67DE"/>
    <w:rsid w:val="00703639"/>
    <w:rsid w:val="007148F9"/>
    <w:rsid w:val="00721FC6"/>
    <w:rsid w:val="007239B0"/>
    <w:rsid w:val="00740B69"/>
    <w:rsid w:val="00742D0B"/>
    <w:rsid w:val="0079167F"/>
    <w:rsid w:val="0079204B"/>
    <w:rsid w:val="007B2E19"/>
    <w:rsid w:val="007B52E1"/>
    <w:rsid w:val="007D669F"/>
    <w:rsid w:val="007E065E"/>
    <w:rsid w:val="007F6460"/>
    <w:rsid w:val="0081745E"/>
    <w:rsid w:val="00835B0D"/>
    <w:rsid w:val="00837F5C"/>
    <w:rsid w:val="00841DEE"/>
    <w:rsid w:val="00846D0A"/>
    <w:rsid w:val="008478BD"/>
    <w:rsid w:val="00854CA8"/>
    <w:rsid w:val="00864576"/>
    <w:rsid w:val="008663CF"/>
    <w:rsid w:val="00877660"/>
    <w:rsid w:val="008B0DC8"/>
    <w:rsid w:val="008C381F"/>
    <w:rsid w:val="008E4621"/>
    <w:rsid w:val="008F47D4"/>
    <w:rsid w:val="00900023"/>
    <w:rsid w:val="009005E7"/>
    <w:rsid w:val="0091029E"/>
    <w:rsid w:val="009408F6"/>
    <w:rsid w:val="00942216"/>
    <w:rsid w:val="00943485"/>
    <w:rsid w:val="009473D1"/>
    <w:rsid w:val="00947B80"/>
    <w:rsid w:val="00950EAF"/>
    <w:rsid w:val="00967A44"/>
    <w:rsid w:val="00985AB1"/>
    <w:rsid w:val="009961C6"/>
    <w:rsid w:val="009A0599"/>
    <w:rsid w:val="009A36B8"/>
    <w:rsid w:val="009B3312"/>
    <w:rsid w:val="009D4C22"/>
    <w:rsid w:val="009E229E"/>
    <w:rsid w:val="009F0BB8"/>
    <w:rsid w:val="00A0795D"/>
    <w:rsid w:val="00A11A69"/>
    <w:rsid w:val="00A2095A"/>
    <w:rsid w:val="00A3065D"/>
    <w:rsid w:val="00A32932"/>
    <w:rsid w:val="00A45ABE"/>
    <w:rsid w:val="00A55AF6"/>
    <w:rsid w:val="00A57AE2"/>
    <w:rsid w:val="00A6135F"/>
    <w:rsid w:val="00A81838"/>
    <w:rsid w:val="00A83080"/>
    <w:rsid w:val="00A871AA"/>
    <w:rsid w:val="00AD6079"/>
    <w:rsid w:val="00AD6B60"/>
    <w:rsid w:val="00AF3975"/>
    <w:rsid w:val="00AF529D"/>
    <w:rsid w:val="00AF53AC"/>
    <w:rsid w:val="00B12416"/>
    <w:rsid w:val="00B12B8C"/>
    <w:rsid w:val="00B16510"/>
    <w:rsid w:val="00B42D86"/>
    <w:rsid w:val="00B44D36"/>
    <w:rsid w:val="00B52336"/>
    <w:rsid w:val="00B87F9B"/>
    <w:rsid w:val="00B95FF7"/>
    <w:rsid w:val="00BD7600"/>
    <w:rsid w:val="00BE5B52"/>
    <w:rsid w:val="00BF73A6"/>
    <w:rsid w:val="00C06E20"/>
    <w:rsid w:val="00C10CF1"/>
    <w:rsid w:val="00C13C49"/>
    <w:rsid w:val="00C22FFA"/>
    <w:rsid w:val="00C2427B"/>
    <w:rsid w:val="00C337F5"/>
    <w:rsid w:val="00C40DD1"/>
    <w:rsid w:val="00C508ED"/>
    <w:rsid w:val="00C5137B"/>
    <w:rsid w:val="00C6678B"/>
    <w:rsid w:val="00C87983"/>
    <w:rsid w:val="00C902FF"/>
    <w:rsid w:val="00C92D53"/>
    <w:rsid w:val="00CC3123"/>
    <w:rsid w:val="00CC57CE"/>
    <w:rsid w:val="00CC63B0"/>
    <w:rsid w:val="00CC7E6E"/>
    <w:rsid w:val="00CD2063"/>
    <w:rsid w:val="00CE0EFB"/>
    <w:rsid w:val="00CE390E"/>
    <w:rsid w:val="00CF33C6"/>
    <w:rsid w:val="00D41C72"/>
    <w:rsid w:val="00D441F5"/>
    <w:rsid w:val="00D5723D"/>
    <w:rsid w:val="00D577A0"/>
    <w:rsid w:val="00D74E0D"/>
    <w:rsid w:val="00D85170"/>
    <w:rsid w:val="00D95286"/>
    <w:rsid w:val="00D9687B"/>
    <w:rsid w:val="00DA4F18"/>
    <w:rsid w:val="00DB6F19"/>
    <w:rsid w:val="00DC0313"/>
    <w:rsid w:val="00DC75F5"/>
    <w:rsid w:val="00DD4308"/>
    <w:rsid w:val="00DE5667"/>
    <w:rsid w:val="00DF6B91"/>
    <w:rsid w:val="00E02C2A"/>
    <w:rsid w:val="00E04677"/>
    <w:rsid w:val="00E0540D"/>
    <w:rsid w:val="00E13F04"/>
    <w:rsid w:val="00E15807"/>
    <w:rsid w:val="00E17101"/>
    <w:rsid w:val="00E174C2"/>
    <w:rsid w:val="00E1757E"/>
    <w:rsid w:val="00E35BBF"/>
    <w:rsid w:val="00E41529"/>
    <w:rsid w:val="00E41C1D"/>
    <w:rsid w:val="00E47205"/>
    <w:rsid w:val="00E54E44"/>
    <w:rsid w:val="00E56F56"/>
    <w:rsid w:val="00E601DE"/>
    <w:rsid w:val="00E739CB"/>
    <w:rsid w:val="00E77E84"/>
    <w:rsid w:val="00E84304"/>
    <w:rsid w:val="00E97CEE"/>
    <w:rsid w:val="00EB5D5A"/>
    <w:rsid w:val="00EF56FC"/>
    <w:rsid w:val="00F033D8"/>
    <w:rsid w:val="00F1573B"/>
    <w:rsid w:val="00F15BED"/>
    <w:rsid w:val="00F25D45"/>
    <w:rsid w:val="00F44905"/>
    <w:rsid w:val="00F5201B"/>
    <w:rsid w:val="00F57F1B"/>
    <w:rsid w:val="00F66A60"/>
    <w:rsid w:val="00F67565"/>
    <w:rsid w:val="00F70AF9"/>
    <w:rsid w:val="00F7691C"/>
    <w:rsid w:val="00F76D55"/>
    <w:rsid w:val="00F80DDF"/>
    <w:rsid w:val="00F811E2"/>
    <w:rsid w:val="00F963C8"/>
    <w:rsid w:val="00FA23D6"/>
    <w:rsid w:val="00FA3229"/>
    <w:rsid w:val="00FB0753"/>
    <w:rsid w:val="00FB1164"/>
    <w:rsid w:val="00FB1FB1"/>
    <w:rsid w:val="00FB21EE"/>
    <w:rsid w:val="00FB4DC6"/>
    <w:rsid w:val="00FD117B"/>
    <w:rsid w:val="00FD3397"/>
    <w:rsid w:val="00FD3A17"/>
    <w:rsid w:val="00FE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B1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6C55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F18"/>
    <w:pPr>
      <w:ind w:left="720"/>
    </w:pPr>
  </w:style>
  <w:style w:type="paragraph" w:customStyle="1" w:styleId="Style7">
    <w:name w:val="Style7"/>
    <w:basedOn w:val="a"/>
    <w:uiPriority w:val="99"/>
    <w:rsid w:val="002C004A"/>
    <w:pPr>
      <w:widowControl w:val="0"/>
      <w:autoSpaceDE w:val="0"/>
      <w:autoSpaceDN w:val="0"/>
      <w:adjustRightInd w:val="0"/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22">
    <w:name w:val="Font Style22"/>
    <w:basedOn w:val="a0"/>
    <w:uiPriority w:val="99"/>
    <w:rsid w:val="002C004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4">
    <w:name w:val="Normal (Web)"/>
    <w:aliases w:val="Обычный (Web),Знак"/>
    <w:basedOn w:val="a"/>
    <w:link w:val="a5"/>
    <w:uiPriority w:val="99"/>
    <w:rsid w:val="00CC57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67565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B7518"/>
    <w:rPr>
      <w:rFonts w:cs="Calibri"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unhideWhenUsed/>
    <w:rsid w:val="00CE390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E390E"/>
    <w:rPr>
      <w:rFonts w:cs="Calibri"/>
      <w:lang w:eastAsia="en-US"/>
    </w:rPr>
  </w:style>
  <w:style w:type="character" w:customStyle="1" w:styleId="a5">
    <w:name w:val="Обычный (веб) Знак"/>
    <w:aliases w:val="Обычный (Web) Знак,Знак Знак"/>
    <w:link w:val="a4"/>
    <w:uiPriority w:val="99"/>
    <w:locked/>
    <w:rsid w:val="00CE390E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C55A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6A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6ED5"/>
    <w:rPr>
      <w:rFonts w:ascii="Tahoma" w:hAnsi="Tahoma" w:cs="Tahoma"/>
      <w:sz w:val="16"/>
      <w:szCs w:val="16"/>
      <w:lang w:eastAsia="en-US"/>
    </w:rPr>
  </w:style>
  <w:style w:type="paragraph" w:styleId="aa">
    <w:name w:val="Body Text Indent"/>
    <w:basedOn w:val="a"/>
    <w:link w:val="ab"/>
    <w:rsid w:val="007E065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7E065E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FontStyle18">
    <w:name w:val="Font Style18"/>
    <w:basedOn w:val="a0"/>
    <w:rsid w:val="009473D1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335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555A"/>
    <w:rPr>
      <w:rFonts w:cs="Calibri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335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555A"/>
    <w:rPr>
      <w:rFonts w:cs="Calibri"/>
      <w:lang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20189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0">
    <w:name w:val="Table Grid"/>
    <w:basedOn w:val="a1"/>
    <w:locked/>
    <w:rsid w:val="000D0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9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8A9D2-2A69-4C7C-90C8-E5C9786D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AKO</cp:lastModifiedBy>
  <cp:revision>3</cp:revision>
  <cp:lastPrinted>2017-03-09T10:05:00Z</cp:lastPrinted>
  <dcterms:created xsi:type="dcterms:W3CDTF">2017-07-13T13:30:00Z</dcterms:created>
  <dcterms:modified xsi:type="dcterms:W3CDTF">2017-07-13T13:30:00Z</dcterms:modified>
</cp:coreProperties>
</file>